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p>
    <w:p>
      <w:pPr>
        <w:pStyle w:val="11"/>
        <w:rPr>
          <w:rFonts w:ascii="Times New Roman"/>
          <w:sz w:val="26"/>
        </w:rPr>
      </w:pPr>
    </w:p>
    <w:p>
      <w:pPr>
        <w:pStyle w:val="11"/>
        <w:jc w:val="center"/>
        <w:rPr>
          <w:b/>
          <w:sz w:val="56"/>
        </w:rPr>
      </w:pPr>
      <w:r>
        <w:rPr>
          <w:rFonts w:hint="eastAsia"/>
          <w:b/>
          <w:sz w:val="56"/>
        </w:rPr>
        <w:t>邢台市草原有害生物普查第三方服务</w:t>
      </w:r>
    </w:p>
    <w:p>
      <w:pPr>
        <w:pStyle w:val="11"/>
        <w:jc w:val="center"/>
        <w:rPr>
          <w:b/>
          <w:sz w:val="56"/>
        </w:rPr>
      </w:pPr>
      <w:r>
        <w:rPr>
          <w:rFonts w:hint="eastAsia"/>
          <w:b/>
          <w:sz w:val="56"/>
        </w:rPr>
        <w:t>项目</w:t>
      </w:r>
    </w:p>
    <w:p>
      <w:pPr>
        <w:pStyle w:val="11"/>
        <w:rPr>
          <w:b/>
          <w:sz w:val="56"/>
        </w:rPr>
      </w:pPr>
    </w:p>
    <w:p>
      <w:pPr>
        <w:pStyle w:val="11"/>
        <w:spacing w:before="11"/>
        <w:rPr>
          <w:b/>
          <w:sz w:val="58"/>
        </w:rPr>
      </w:pPr>
    </w:p>
    <w:p>
      <w:pPr>
        <w:jc w:val="center"/>
        <w:rPr>
          <w:rFonts w:hint="eastAsia" w:ascii="宋体" w:hAnsi="宋体" w:cs="宋体"/>
          <w:b/>
          <w:bCs w:val="0"/>
          <w:sz w:val="84"/>
          <w:szCs w:val="84"/>
        </w:rPr>
      </w:pPr>
      <w:r>
        <w:rPr>
          <w:rFonts w:hint="eastAsia" w:ascii="宋体" w:hAnsi="宋体" w:cs="宋体"/>
          <w:b/>
          <w:bCs w:val="0"/>
          <w:sz w:val="84"/>
          <w:szCs w:val="84"/>
        </w:rPr>
        <w:t>竞争性磋商文件</w:t>
      </w:r>
    </w:p>
    <w:p>
      <w:pPr>
        <w:pStyle w:val="11"/>
        <w:spacing w:before="6"/>
        <w:rPr>
          <w:b/>
          <w:sz w:val="65"/>
        </w:rPr>
      </w:pPr>
    </w:p>
    <w:p>
      <w:pPr>
        <w:pStyle w:val="8"/>
        <w:ind w:right="62"/>
        <w:jc w:val="center"/>
        <w:rPr>
          <w:rFonts w:hint="default"/>
          <w:lang w:val="en-US"/>
        </w:rPr>
      </w:pPr>
      <w:r>
        <w:t>项目编号：</w:t>
      </w:r>
      <w:r>
        <w:rPr>
          <w:rFonts w:hint="eastAsia"/>
          <w:lang w:val="en-US"/>
        </w:rPr>
        <w:t>XTHM</w:t>
      </w:r>
      <w:r>
        <w:rPr>
          <w:rFonts w:hint="eastAsia"/>
        </w:rPr>
        <w:t>2021-</w:t>
      </w:r>
      <w:r>
        <w:rPr>
          <w:rFonts w:hint="eastAsia"/>
          <w:lang w:val="en-US" w:eastAsia="zh-CN"/>
        </w:rPr>
        <w:t>1012</w:t>
      </w: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spacing w:before="8"/>
        <w:rPr>
          <w:b/>
          <w:sz w:val="36"/>
        </w:rPr>
      </w:pPr>
    </w:p>
    <w:p>
      <w:pPr>
        <w:ind w:left="1436"/>
        <w:rPr>
          <w:b/>
          <w:spacing w:val="-10"/>
          <w:sz w:val="32"/>
          <w:lang w:val="en-US"/>
        </w:rPr>
      </w:pPr>
      <w:r>
        <w:rPr>
          <w:b/>
          <w:sz w:val="32"/>
        </w:rPr>
        <w:t>项 目 名 称：</w:t>
      </w:r>
      <w:r>
        <w:rPr>
          <w:rFonts w:hint="eastAsia"/>
          <w:b/>
          <w:sz w:val="32"/>
          <w:u w:val="single"/>
        </w:rPr>
        <w:t>邢台市草原有害生物普查第三方服务项目</w:t>
      </w:r>
    </w:p>
    <w:p>
      <w:pPr>
        <w:pStyle w:val="11"/>
        <w:spacing w:before="10"/>
        <w:rPr>
          <w:b/>
          <w:sz w:val="13"/>
        </w:rPr>
      </w:pPr>
    </w:p>
    <w:p>
      <w:pPr>
        <w:tabs>
          <w:tab w:val="left" w:pos="2079"/>
          <w:tab w:val="left" w:pos="2722"/>
        </w:tabs>
        <w:spacing w:before="55"/>
        <w:ind w:left="1438"/>
        <w:rPr>
          <w:b/>
          <w:sz w:val="32"/>
        </w:rPr>
      </w:pPr>
      <w:r>
        <w:rPr>
          <w:b/>
          <w:sz w:val="32"/>
        </w:rPr>
        <w:t>招</w:t>
      </w:r>
      <w:r>
        <w:rPr>
          <w:b/>
          <w:sz w:val="32"/>
        </w:rPr>
        <w:tab/>
      </w:r>
      <w:r>
        <w:rPr>
          <w:b/>
          <w:sz w:val="32"/>
        </w:rPr>
        <w:t>标</w:t>
      </w:r>
      <w:r>
        <w:rPr>
          <w:b/>
          <w:sz w:val="32"/>
        </w:rPr>
        <w:tab/>
      </w:r>
      <w:r>
        <w:rPr>
          <w:b/>
          <w:sz w:val="32"/>
        </w:rPr>
        <w:t>人：</w:t>
      </w:r>
      <w:r>
        <w:rPr>
          <w:rFonts w:hint="eastAsia"/>
          <w:b/>
          <w:sz w:val="32"/>
          <w:lang w:val="en-US"/>
        </w:rPr>
        <w:t xml:space="preserve"> </w:t>
      </w:r>
      <w:r>
        <w:rPr>
          <w:rFonts w:hint="eastAsia"/>
          <w:b/>
          <w:sz w:val="32"/>
          <w:u w:val="single"/>
        </w:rPr>
        <w:t>邢台市林业局</w:t>
      </w:r>
    </w:p>
    <w:p>
      <w:pPr>
        <w:pStyle w:val="11"/>
        <w:spacing w:before="10"/>
        <w:rPr>
          <w:b/>
          <w:sz w:val="13"/>
        </w:rPr>
      </w:pPr>
    </w:p>
    <w:p>
      <w:pPr>
        <w:spacing w:before="54"/>
        <w:ind w:left="1438"/>
        <w:rPr>
          <w:b/>
          <w:sz w:val="32"/>
        </w:rPr>
      </w:pPr>
      <w:r>
        <w:rPr>
          <w:b/>
          <w:spacing w:val="-4"/>
          <w:sz w:val="32"/>
        </w:rPr>
        <w:t>代 理 机 构：</w:t>
      </w:r>
      <w:r>
        <w:rPr>
          <w:rFonts w:hint="eastAsia"/>
          <w:b/>
          <w:sz w:val="32"/>
          <w:u w:val="single"/>
        </w:rPr>
        <w:t>邢台华铭工程项目管理有限公司</w:t>
      </w:r>
    </w:p>
    <w:p>
      <w:pPr>
        <w:pStyle w:val="11"/>
        <w:rPr>
          <w:b/>
          <w:sz w:val="20"/>
        </w:rPr>
      </w:pPr>
    </w:p>
    <w:p>
      <w:pPr>
        <w:pStyle w:val="11"/>
        <w:rPr>
          <w:b/>
          <w:sz w:val="20"/>
        </w:rPr>
      </w:pPr>
    </w:p>
    <w:p>
      <w:pPr>
        <w:pStyle w:val="11"/>
        <w:spacing w:before="8"/>
        <w:rPr>
          <w:b/>
          <w:sz w:val="23"/>
        </w:rPr>
      </w:pPr>
    </w:p>
    <w:p>
      <w:pPr>
        <w:tabs>
          <w:tab w:val="left" w:pos="1444"/>
          <w:tab w:val="left" w:pos="2248"/>
        </w:tabs>
        <w:spacing w:before="54"/>
        <w:ind w:right="42"/>
        <w:jc w:val="center"/>
        <w:rPr>
          <w:b/>
          <w:sz w:val="32"/>
        </w:rPr>
      </w:pPr>
      <w:r>
        <w:rPr>
          <w:b/>
          <w:sz w:val="32"/>
        </w:rPr>
        <w:t>日</w:t>
      </w:r>
      <w:r>
        <w:rPr>
          <w:b/>
          <w:sz w:val="32"/>
        </w:rPr>
        <w:tab/>
      </w:r>
      <w:r>
        <w:rPr>
          <w:b/>
          <w:sz w:val="32"/>
        </w:rPr>
        <w:t>期:</w:t>
      </w:r>
      <w:r>
        <w:rPr>
          <w:b/>
          <w:sz w:val="32"/>
        </w:rPr>
        <w:tab/>
      </w:r>
      <w:r>
        <w:rPr>
          <w:b/>
          <w:sz w:val="32"/>
          <w:u w:val="single"/>
        </w:rPr>
        <w:t>2021</w:t>
      </w:r>
      <w:r>
        <w:rPr>
          <w:b/>
          <w:spacing w:val="-82"/>
          <w:sz w:val="32"/>
        </w:rPr>
        <w:t xml:space="preserve"> </w:t>
      </w:r>
      <w:r>
        <w:rPr>
          <w:b/>
          <w:sz w:val="32"/>
        </w:rPr>
        <w:t>年</w:t>
      </w:r>
      <w:r>
        <w:rPr>
          <w:b/>
          <w:spacing w:val="-80"/>
          <w:sz w:val="32"/>
        </w:rPr>
        <w:t xml:space="preserve"> </w:t>
      </w:r>
      <w:r>
        <w:rPr>
          <w:rFonts w:hint="eastAsia"/>
          <w:b/>
          <w:sz w:val="32"/>
          <w:u w:val="single"/>
          <w:lang w:val="en-US" w:eastAsia="zh-CN"/>
        </w:rPr>
        <w:t>10</w:t>
      </w:r>
      <w:r>
        <w:rPr>
          <w:b/>
          <w:sz w:val="32"/>
        </w:rPr>
        <w:t>月</w:t>
      </w:r>
    </w:p>
    <w:p>
      <w:pPr>
        <w:jc w:val="center"/>
        <w:rPr>
          <w:sz w:val="32"/>
        </w:rPr>
        <w:sectPr>
          <w:type w:val="continuous"/>
          <w:pgSz w:w="11910" w:h="16840"/>
          <w:pgMar w:top="1580" w:right="720" w:bottom="280" w:left="940" w:header="720" w:footer="720" w:gutter="0"/>
          <w:cols w:space="720" w:num="1"/>
        </w:sectPr>
      </w:pPr>
    </w:p>
    <w:p>
      <w:pPr>
        <w:pStyle w:val="11"/>
        <w:rPr>
          <w:b/>
          <w:sz w:val="20"/>
        </w:rPr>
      </w:pPr>
    </w:p>
    <w:p>
      <w:pPr>
        <w:spacing w:before="209"/>
        <w:ind w:left="478"/>
        <w:rPr>
          <w:b/>
          <w:sz w:val="28"/>
        </w:rPr>
      </w:pPr>
      <w:bookmarkStart w:id="0" w:name="重要说明"/>
      <w:bookmarkEnd w:id="0"/>
      <w:r>
        <w:rPr>
          <w:b/>
          <w:sz w:val="28"/>
        </w:rPr>
        <w:t>重要说明</w:t>
      </w:r>
    </w:p>
    <w:p>
      <w:pPr>
        <w:pStyle w:val="11"/>
        <w:rPr>
          <w:b/>
          <w:sz w:val="22"/>
        </w:rPr>
      </w:pPr>
    </w:p>
    <w:p>
      <w:pPr>
        <w:spacing w:line="427" w:lineRule="auto"/>
        <w:ind w:left="478" w:right="383" w:firstLine="840"/>
        <w:jc w:val="both"/>
        <w:rPr>
          <w:sz w:val="28"/>
        </w:rPr>
      </w:pPr>
      <w:bookmarkStart w:id="1" w:name="投标单位在领取招标文件时请自行核对，如发现缺页、错装等情况，自领取招标文件之日起"/>
      <w:bookmarkEnd w:id="1"/>
      <w:r>
        <w:rPr>
          <w:spacing w:val="-3"/>
          <w:sz w:val="28"/>
        </w:rPr>
        <w:t>投标单位在领取</w:t>
      </w:r>
      <w:r>
        <w:rPr>
          <w:rFonts w:hint="eastAsia"/>
          <w:spacing w:val="-3"/>
          <w:sz w:val="28"/>
        </w:rPr>
        <w:t>竞争性磋商</w:t>
      </w:r>
      <w:r>
        <w:rPr>
          <w:spacing w:val="-3"/>
          <w:sz w:val="28"/>
        </w:rPr>
        <w:t xml:space="preserve">文件时请自行核对，如发现缺页、错装等情况， </w:t>
      </w:r>
      <w:r>
        <w:rPr>
          <w:spacing w:val="6"/>
          <w:sz w:val="28"/>
        </w:rPr>
        <w:t>自领取</w:t>
      </w:r>
      <w:r>
        <w:rPr>
          <w:rFonts w:hint="eastAsia"/>
          <w:spacing w:val="-3"/>
          <w:sz w:val="28"/>
        </w:rPr>
        <w:t>竞争性磋商</w:t>
      </w:r>
      <w:r>
        <w:rPr>
          <w:spacing w:val="-3"/>
          <w:sz w:val="28"/>
        </w:rPr>
        <w:t>文</w:t>
      </w:r>
      <w:r>
        <w:rPr>
          <w:spacing w:val="6"/>
          <w:sz w:val="28"/>
        </w:rPr>
        <w:t xml:space="preserve">之日起三日内向招标人或招标代理机构提出，联系电话： </w:t>
      </w:r>
      <w:r>
        <w:rPr>
          <w:rFonts w:hint="eastAsia"/>
          <w:spacing w:val="-1"/>
          <w:sz w:val="28"/>
          <w:u w:val="single"/>
          <w:lang w:val="en-US"/>
        </w:rPr>
        <w:t>13932940937</w:t>
      </w:r>
      <w:r>
        <w:rPr>
          <w:spacing w:val="-14"/>
          <w:sz w:val="28"/>
        </w:rPr>
        <w:t>。如未提出，所有责任及由此造成的一切后果由投标单位自负。</w:t>
      </w:r>
    </w:p>
    <w:p>
      <w:pPr>
        <w:spacing w:line="427" w:lineRule="auto"/>
        <w:jc w:val="both"/>
        <w:rPr>
          <w:sz w:val="28"/>
        </w:rPr>
        <w:sectPr>
          <w:footerReference r:id="rId3" w:type="default"/>
          <w:pgSz w:w="11910" w:h="16840"/>
          <w:pgMar w:top="1580" w:right="720" w:bottom="1100" w:left="940" w:header="0" w:footer="913" w:gutter="0"/>
          <w:pgNumType w:start="1"/>
          <w:cols w:space="720" w:num="1"/>
        </w:sect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邢台市草原有害生物普查第三方服务项目竞争性磋商公告</w:t>
      </w:r>
    </w:p>
    <w:p>
      <w:pPr>
        <w:spacing w:line="360" w:lineRule="exact"/>
        <w:ind w:left="958"/>
        <w:rPr>
          <w:b/>
          <w:sz w:val="24"/>
        </w:rPr>
      </w:pPr>
      <w:r>
        <w:rPr>
          <w:rFonts w:hint="eastAsia"/>
          <w:b/>
          <w:sz w:val="24"/>
        </w:rPr>
        <w:t>一、</w:t>
      </w:r>
      <w:r>
        <w:rPr>
          <w:b/>
          <w:sz w:val="24"/>
        </w:rPr>
        <w:t>招标条件</w:t>
      </w:r>
    </w:p>
    <w:p>
      <w:pPr>
        <w:spacing w:line="360" w:lineRule="exact"/>
        <w:ind w:left="719" w:leftChars="327" w:firstLine="240" w:firstLineChars="100"/>
        <w:rPr>
          <w:sz w:val="24"/>
          <w:szCs w:val="24"/>
        </w:rPr>
      </w:pPr>
      <w:r>
        <w:rPr>
          <w:rFonts w:hint="eastAsia"/>
          <w:sz w:val="24"/>
          <w:szCs w:val="24"/>
        </w:rPr>
        <w:t>本招标项目，经邢台市林业局党组研究，拟对全市草原有害生物普查工作采购第三方服</w:t>
      </w:r>
    </w:p>
    <w:p>
      <w:pPr>
        <w:spacing w:line="360" w:lineRule="exact"/>
        <w:ind w:left="480" w:leftChars="218"/>
        <w:rPr>
          <w:spacing w:val="-8"/>
          <w:sz w:val="24"/>
          <w:szCs w:val="24"/>
        </w:rPr>
      </w:pPr>
      <w:r>
        <w:rPr>
          <w:rFonts w:hint="eastAsia"/>
          <w:sz w:val="24"/>
          <w:szCs w:val="24"/>
        </w:rPr>
        <w:t>务方式进行，项目业主为</w:t>
      </w:r>
      <w:r>
        <w:rPr>
          <w:rFonts w:hint="eastAsia"/>
          <w:b/>
          <w:bCs/>
          <w:sz w:val="24"/>
          <w:szCs w:val="24"/>
          <w:u w:val="single"/>
        </w:rPr>
        <w:t>邢台市林业局</w:t>
      </w:r>
      <w:r>
        <w:rPr>
          <w:rFonts w:hint="eastAsia"/>
          <w:sz w:val="24"/>
          <w:szCs w:val="24"/>
        </w:rPr>
        <w:t>，资金来源</w:t>
      </w:r>
      <w:r>
        <w:rPr>
          <w:rFonts w:hint="eastAsia"/>
          <w:b/>
          <w:bCs/>
          <w:sz w:val="24"/>
          <w:szCs w:val="24"/>
          <w:u w:val="single"/>
        </w:rPr>
        <w:t>财政</w:t>
      </w:r>
      <w:r>
        <w:rPr>
          <w:rFonts w:hint="eastAsia"/>
          <w:b/>
          <w:bCs/>
          <w:spacing w:val="-1"/>
          <w:sz w:val="24"/>
          <w:szCs w:val="24"/>
          <w:u w:val="single"/>
        </w:rPr>
        <w:t>资金</w:t>
      </w:r>
      <w:r>
        <w:rPr>
          <w:rFonts w:hint="eastAsia"/>
          <w:spacing w:val="-13"/>
          <w:sz w:val="24"/>
          <w:szCs w:val="24"/>
        </w:rPr>
        <w:t xml:space="preserve">。出资比例为 </w:t>
      </w:r>
      <w:r>
        <w:rPr>
          <w:rFonts w:hint="eastAsia"/>
          <w:b/>
          <w:sz w:val="24"/>
          <w:szCs w:val="24"/>
          <w:u w:val="single"/>
        </w:rPr>
        <w:t>100%</w:t>
      </w:r>
      <w:r>
        <w:rPr>
          <w:rFonts w:hint="eastAsia"/>
          <w:spacing w:val="-8"/>
          <w:sz w:val="24"/>
          <w:szCs w:val="24"/>
        </w:rPr>
        <w:t>。项目已具备招标条件，现对该项目进行</w:t>
      </w:r>
      <w:r>
        <w:rPr>
          <w:rFonts w:hint="eastAsia"/>
          <w:spacing w:val="-8"/>
          <w:sz w:val="24"/>
          <w:szCs w:val="24"/>
          <w:lang w:eastAsia="zh-CN"/>
        </w:rPr>
        <w:t>采购</w:t>
      </w:r>
      <w:r>
        <w:rPr>
          <w:rFonts w:hint="eastAsia"/>
          <w:spacing w:val="-8"/>
          <w:sz w:val="24"/>
          <w:szCs w:val="24"/>
        </w:rPr>
        <w:t>。</w:t>
      </w:r>
    </w:p>
    <w:p>
      <w:pPr>
        <w:spacing w:line="360" w:lineRule="exact"/>
        <w:ind w:left="958"/>
        <w:rPr>
          <w:b/>
          <w:sz w:val="24"/>
        </w:rPr>
      </w:pPr>
      <w:r>
        <w:rPr>
          <w:b/>
          <w:sz w:val="24"/>
        </w:rPr>
        <w:t>二、</w:t>
      </w:r>
      <w:r>
        <w:rPr>
          <w:rFonts w:hint="eastAsia"/>
          <w:b/>
          <w:sz w:val="24"/>
        </w:rPr>
        <w:t>项目</w:t>
      </w:r>
      <w:r>
        <w:rPr>
          <w:b/>
          <w:sz w:val="24"/>
        </w:rPr>
        <w:t>概况</w:t>
      </w:r>
    </w:p>
    <w:p>
      <w:pPr>
        <w:pStyle w:val="29"/>
        <w:tabs>
          <w:tab w:val="left" w:pos="1439"/>
        </w:tabs>
        <w:spacing w:line="360" w:lineRule="exact"/>
        <w:ind w:left="988" w:firstLine="0"/>
        <w:rPr>
          <w:sz w:val="24"/>
          <w:szCs w:val="24"/>
        </w:rPr>
      </w:pPr>
      <w:r>
        <w:rPr>
          <w:rFonts w:hint="eastAsia"/>
          <w:spacing w:val="14"/>
          <w:sz w:val="24"/>
          <w:szCs w:val="24"/>
          <w:lang w:val="en-US"/>
        </w:rPr>
        <w:t>2.1</w:t>
      </w:r>
      <w:r>
        <w:rPr>
          <w:rFonts w:hint="eastAsia"/>
          <w:spacing w:val="14"/>
          <w:sz w:val="24"/>
          <w:szCs w:val="24"/>
        </w:rPr>
        <w:t>项目名称：</w:t>
      </w:r>
      <w:r>
        <w:rPr>
          <w:rFonts w:hint="eastAsia"/>
          <w:b/>
          <w:sz w:val="24"/>
          <w:szCs w:val="24"/>
        </w:rPr>
        <w:t>邢台市草原有害生物普查第三方服务项目</w:t>
      </w:r>
    </w:p>
    <w:p>
      <w:pPr>
        <w:pStyle w:val="54"/>
        <w:spacing w:after="0" w:line="360" w:lineRule="exact"/>
        <w:ind w:firstLine="960" w:firstLineChars="400"/>
        <w:rPr>
          <w:rFonts w:ascii="宋体" w:hAnsi="宋体" w:cs="宋体"/>
          <w:sz w:val="24"/>
          <w:szCs w:val="24"/>
        </w:rPr>
      </w:pPr>
      <w:r>
        <w:rPr>
          <w:rFonts w:hint="eastAsia" w:ascii="宋体" w:hAnsi="宋体" w:cs="宋体"/>
          <w:sz w:val="24"/>
          <w:szCs w:val="24"/>
        </w:rPr>
        <w:t>2.2采购服务内容：</w:t>
      </w:r>
    </w:p>
    <w:p>
      <w:pPr>
        <w:pStyle w:val="54"/>
        <w:spacing w:after="0" w:line="360" w:lineRule="exact"/>
        <w:ind w:left="1679" w:leftChars="436" w:hanging="720" w:hangingChars="300"/>
        <w:rPr>
          <w:rFonts w:ascii="宋体" w:hAnsi="宋体" w:cs="宋体"/>
          <w:sz w:val="24"/>
          <w:szCs w:val="24"/>
        </w:rPr>
      </w:pPr>
      <w:r>
        <w:rPr>
          <w:rFonts w:hint="eastAsia" w:ascii="宋体" w:hAnsi="宋体" w:cs="宋体"/>
          <w:sz w:val="24"/>
          <w:szCs w:val="24"/>
        </w:rPr>
        <w:t>（一）采购方制定的草原有害生物普查实施方案和普查技术方案。</w:t>
      </w:r>
    </w:p>
    <w:p>
      <w:pPr>
        <w:pStyle w:val="54"/>
        <w:spacing w:after="0" w:line="360" w:lineRule="exact"/>
        <w:ind w:firstLine="960" w:firstLineChars="400"/>
        <w:rPr>
          <w:rFonts w:ascii="宋体" w:hAnsi="宋体" w:cs="宋体"/>
          <w:sz w:val="24"/>
          <w:szCs w:val="24"/>
        </w:rPr>
      </w:pPr>
      <w:r>
        <w:rPr>
          <w:rFonts w:hint="eastAsia" w:ascii="宋体" w:hAnsi="宋体" w:cs="宋体"/>
          <w:sz w:val="24"/>
          <w:szCs w:val="24"/>
        </w:rPr>
        <w:t>（二）按国家、省要求，通过系统上传有关资料，完成任务。</w:t>
      </w:r>
    </w:p>
    <w:p>
      <w:pPr>
        <w:pStyle w:val="54"/>
        <w:spacing w:after="0" w:line="360" w:lineRule="exact"/>
        <w:ind w:left="1679" w:leftChars="436" w:hanging="720" w:hangingChars="300"/>
        <w:rPr>
          <w:rFonts w:ascii="宋体" w:hAnsi="宋体" w:cs="宋体"/>
          <w:sz w:val="24"/>
          <w:szCs w:val="24"/>
        </w:rPr>
      </w:pPr>
      <w:r>
        <w:rPr>
          <w:rFonts w:hint="eastAsia" w:ascii="宋体" w:hAnsi="宋体" w:cs="宋体"/>
          <w:sz w:val="24"/>
          <w:szCs w:val="24"/>
        </w:rPr>
        <w:t>（三）对全市范围内草原有害生物种类、寄主植物、危害部位或危害方式、种群密度、</w:t>
      </w:r>
    </w:p>
    <w:p>
      <w:pPr>
        <w:pStyle w:val="54"/>
        <w:spacing w:after="0" w:line="360" w:lineRule="exact"/>
        <w:ind w:firstLine="480" w:firstLineChars="200"/>
        <w:rPr>
          <w:rFonts w:ascii="宋体" w:hAnsi="宋体" w:cs="宋体"/>
          <w:sz w:val="24"/>
          <w:szCs w:val="24"/>
        </w:rPr>
      </w:pPr>
      <w:r>
        <w:rPr>
          <w:rFonts w:hint="eastAsia" w:ascii="宋体" w:hAnsi="宋体" w:cs="宋体"/>
          <w:sz w:val="24"/>
          <w:szCs w:val="24"/>
        </w:rPr>
        <w:t>发生范围、分布范围、发生面积、入侵物种等进行调查。</w:t>
      </w:r>
    </w:p>
    <w:p>
      <w:pPr>
        <w:pStyle w:val="54"/>
        <w:spacing w:after="0" w:line="360" w:lineRule="exact"/>
        <w:ind w:left="959" w:leftChars="436"/>
        <w:rPr>
          <w:rFonts w:ascii="宋体" w:hAnsi="宋体" w:cs="宋体"/>
          <w:sz w:val="24"/>
          <w:szCs w:val="24"/>
        </w:rPr>
      </w:pPr>
      <w:r>
        <w:rPr>
          <w:rFonts w:hint="eastAsia" w:ascii="宋体" w:hAnsi="宋体" w:cs="宋体"/>
          <w:sz w:val="24"/>
          <w:szCs w:val="24"/>
        </w:rPr>
        <w:t>2.3提交成果：满足国家、省普查要求。一是提供标本、影像资料。主要有害生物标本</w:t>
      </w:r>
    </w:p>
    <w:p>
      <w:pPr>
        <w:pStyle w:val="54"/>
        <w:spacing w:after="0" w:line="360" w:lineRule="exact"/>
        <w:ind w:left="480" w:leftChars="218"/>
        <w:jc w:val="left"/>
        <w:rPr>
          <w:rFonts w:ascii="宋体" w:hAnsi="宋体" w:cs="宋体"/>
          <w:sz w:val="24"/>
          <w:szCs w:val="24"/>
        </w:rPr>
      </w:pPr>
      <w:r>
        <w:rPr>
          <w:rFonts w:hint="eastAsia" w:ascii="宋体" w:hAnsi="宋体" w:cs="宋体"/>
          <w:sz w:val="24"/>
          <w:szCs w:val="24"/>
        </w:rPr>
        <w:t>和影像资料；二是工作报告和普查结果报告。根据采购方需要，协助完成普查工作总结报告，为采购方提交普查结果报告内容包括：本辖区草原有害生物种类及其发生分布情况、草原有害生物发生趋势分析及主要草原有害生物风险评估报告等。</w:t>
      </w:r>
    </w:p>
    <w:p>
      <w:pPr>
        <w:widowControl/>
        <w:spacing w:line="360" w:lineRule="exact"/>
        <w:ind w:left="480" w:leftChars="218" w:firstLine="536" w:firstLineChars="200"/>
        <w:rPr>
          <w:sz w:val="24"/>
          <w:szCs w:val="24"/>
        </w:rPr>
      </w:pPr>
      <w:r>
        <w:rPr>
          <w:rFonts w:hint="eastAsia"/>
          <w:spacing w:val="14"/>
          <w:sz w:val="24"/>
          <w:szCs w:val="24"/>
          <w:lang w:val="en-US"/>
        </w:rPr>
        <w:t>2.4</w:t>
      </w:r>
      <w:r>
        <w:rPr>
          <w:rFonts w:hint="eastAsia"/>
          <w:spacing w:val="14"/>
          <w:sz w:val="24"/>
          <w:szCs w:val="24"/>
        </w:rPr>
        <w:t>质量要求：满足采购方《</w:t>
      </w:r>
      <w:r>
        <w:rPr>
          <w:rFonts w:hint="eastAsia"/>
          <w:sz w:val="24"/>
          <w:szCs w:val="24"/>
          <w:lang w:val="en-US"/>
        </w:rPr>
        <w:t>河北省草原有害生物普查工作实施方案</w:t>
      </w:r>
      <w:r>
        <w:rPr>
          <w:rFonts w:hint="eastAsia"/>
          <w:spacing w:val="14"/>
          <w:sz w:val="24"/>
          <w:szCs w:val="24"/>
        </w:rPr>
        <w:t>》和</w:t>
      </w:r>
      <w:r>
        <w:rPr>
          <w:rFonts w:hint="eastAsia"/>
          <w:sz w:val="24"/>
          <w:szCs w:val="24"/>
          <w:lang w:val="en-US"/>
        </w:rPr>
        <w:t>《河北省草原有害生物普查技术方案》</w:t>
      </w:r>
      <w:r>
        <w:rPr>
          <w:rFonts w:hint="eastAsia"/>
          <w:spacing w:val="14"/>
          <w:sz w:val="24"/>
          <w:szCs w:val="24"/>
        </w:rPr>
        <w:t>需求。</w:t>
      </w:r>
    </w:p>
    <w:p>
      <w:pPr>
        <w:pStyle w:val="54"/>
        <w:spacing w:after="0" w:line="360" w:lineRule="exact"/>
        <w:ind w:firstLine="960" w:firstLineChars="400"/>
        <w:rPr>
          <w:rFonts w:ascii="宋体" w:hAnsi="宋体" w:cs="宋体"/>
          <w:sz w:val="24"/>
          <w:szCs w:val="24"/>
        </w:rPr>
      </w:pPr>
      <w:r>
        <w:rPr>
          <w:rFonts w:hint="eastAsia" w:ascii="宋体" w:hAnsi="宋体" w:cs="宋体"/>
          <w:sz w:val="24"/>
          <w:szCs w:val="24"/>
        </w:rPr>
        <w:t>2.5服务周期：自签订合同之日起至</w:t>
      </w:r>
      <w:r>
        <w:rPr>
          <w:rFonts w:hint="eastAsia" w:cs="宋体"/>
          <w:spacing w:val="12"/>
          <w:sz w:val="24"/>
          <w:szCs w:val="24"/>
        </w:rPr>
        <w:t>2023年12月31日</w:t>
      </w:r>
    </w:p>
    <w:p>
      <w:pPr>
        <w:pStyle w:val="54"/>
        <w:spacing w:after="0" w:line="360" w:lineRule="exact"/>
        <w:ind w:firstLine="960" w:firstLineChars="400"/>
        <w:rPr>
          <w:rFonts w:ascii="宋体" w:hAnsi="宋体" w:cs="宋体"/>
          <w:sz w:val="24"/>
          <w:szCs w:val="24"/>
        </w:rPr>
      </w:pPr>
      <w:r>
        <w:rPr>
          <w:rFonts w:hint="eastAsia" w:ascii="宋体" w:hAnsi="宋体" w:cs="宋体"/>
          <w:sz w:val="24"/>
          <w:szCs w:val="24"/>
        </w:rPr>
        <w:t>2.6工作范围：邢台市全市范围</w:t>
      </w:r>
    </w:p>
    <w:p>
      <w:pPr>
        <w:pStyle w:val="9"/>
        <w:spacing w:line="360" w:lineRule="exact"/>
        <w:ind w:firstLine="482" w:firstLineChars="200"/>
        <w:rPr>
          <w:rFonts w:hint="eastAsia" w:eastAsia="宋体"/>
          <w:lang w:eastAsia="zh-CN"/>
        </w:rPr>
      </w:pPr>
      <w:r>
        <w:t>三、</w:t>
      </w:r>
      <w:r>
        <w:rPr>
          <w:rFonts w:hint="eastAsia"/>
          <w:lang w:eastAsia="zh-CN"/>
        </w:rPr>
        <w:t>采购</w:t>
      </w:r>
      <w:r>
        <w:t>方式</w:t>
      </w:r>
      <w:r>
        <w:rPr>
          <w:rFonts w:hint="eastAsia"/>
        </w:rPr>
        <w:t>：</w:t>
      </w:r>
      <w:r>
        <w:rPr>
          <w:rFonts w:hint="eastAsia"/>
          <w:lang w:eastAsia="zh-CN"/>
        </w:rPr>
        <w:t>竞争性磋商</w:t>
      </w:r>
    </w:p>
    <w:p>
      <w:pPr>
        <w:pStyle w:val="9"/>
        <w:spacing w:line="360" w:lineRule="exact"/>
        <w:ind w:firstLine="482" w:firstLineChars="200"/>
        <w:rPr>
          <w:sz w:val="17"/>
        </w:rPr>
      </w:pPr>
      <w:r>
        <w:t>四、投标单位资格要求：</w:t>
      </w:r>
    </w:p>
    <w:p>
      <w:pPr>
        <w:pStyle w:val="11"/>
        <w:spacing w:line="360" w:lineRule="exact"/>
        <w:ind w:left="480" w:leftChars="218" w:firstLine="480" w:firstLineChars="200"/>
      </w:pPr>
      <w:r>
        <w:rPr>
          <w:rFonts w:hint="eastAsia"/>
          <w:lang w:val="en-US"/>
        </w:rPr>
        <w:t>4.1</w:t>
      </w:r>
      <w:r>
        <w:t>投标人必须是在中华人民共和国境内注册的独立法人，具有独立承担民事责任的能力，并在人员、</w:t>
      </w:r>
      <w:r>
        <w:rPr>
          <w:rFonts w:hint="eastAsia"/>
        </w:rPr>
        <w:t>办公条件</w:t>
      </w:r>
      <w:r>
        <w:t>、资金等方面</w:t>
      </w:r>
      <w:r>
        <w:rPr>
          <w:rFonts w:hint="eastAsia"/>
        </w:rPr>
        <w:t>配置完善，</w:t>
      </w:r>
      <w:r>
        <w:t>具有履行合同所必需的设备和专业技术能力。</w:t>
      </w:r>
    </w:p>
    <w:p>
      <w:pPr>
        <w:pStyle w:val="11"/>
        <w:spacing w:line="360" w:lineRule="exact"/>
        <w:ind w:firstLine="960" w:firstLineChars="400"/>
      </w:pPr>
      <w:r>
        <w:rPr>
          <w:rFonts w:hint="eastAsia"/>
          <w:lang w:val="en-US"/>
        </w:rPr>
        <w:t>4.</w:t>
      </w:r>
      <w:r>
        <w:rPr>
          <w:rFonts w:hint="eastAsia"/>
          <w:lang w:val="en-US" w:eastAsia="zh-CN"/>
        </w:rPr>
        <w:t>2</w:t>
      </w:r>
      <w:r>
        <w:t>与招标人存在利害关系可能影响招标公正性的投标人，不得投标。提供与招标人</w:t>
      </w:r>
    </w:p>
    <w:p>
      <w:pPr>
        <w:pStyle w:val="11"/>
        <w:spacing w:line="360" w:lineRule="exact"/>
        <w:ind w:firstLine="480" w:firstLineChars="200"/>
      </w:pPr>
      <w:r>
        <w:t>无利害关系承诺书。</w:t>
      </w:r>
    </w:p>
    <w:p>
      <w:pPr>
        <w:pStyle w:val="11"/>
        <w:spacing w:line="360" w:lineRule="exact"/>
        <w:ind w:firstLine="960" w:firstLineChars="400"/>
        <w:rPr>
          <w:lang w:val="en-US"/>
        </w:rPr>
      </w:pPr>
      <w:r>
        <w:rPr>
          <w:rFonts w:hint="eastAsia"/>
          <w:lang w:val="en-US"/>
        </w:rPr>
        <w:t>4.</w:t>
      </w:r>
      <w:r>
        <w:rPr>
          <w:rFonts w:hint="eastAsia"/>
          <w:lang w:val="en-US" w:eastAsia="zh-CN"/>
        </w:rPr>
        <w:t>3</w:t>
      </w:r>
      <w:r>
        <w:rPr>
          <w:rFonts w:hint="eastAsia"/>
          <w:lang w:val="en-US"/>
        </w:rPr>
        <w:t>列入“信用中国”网站(www.creditchina.gov.cn)信用记录失信被执行人、重大</w:t>
      </w:r>
    </w:p>
    <w:p>
      <w:pPr>
        <w:pStyle w:val="11"/>
        <w:spacing w:line="360" w:lineRule="exact"/>
        <w:ind w:firstLine="480" w:firstLineChars="200"/>
      </w:pPr>
      <w:r>
        <w:rPr>
          <w:rFonts w:hint="eastAsia"/>
          <w:lang w:val="en-US"/>
        </w:rPr>
        <w:t>税收违法案件当事人名单、政府采购严重违法失信行为记录名单的投标人将被拒绝投标</w:t>
      </w:r>
      <w:r>
        <w:t>。</w:t>
      </w:r>
    </w:p>
    <w:p>
      <w:pPr>
        <w:pStyle w:val="11"/>
        <w:spacing w:line="360" w:lineRule="exact"/>
        <w:ind w:firstLine="960" w:firstLineChars="400"/>
      </w:pPr>
      <w:r>
        <w:rPr>
          <w:rFonts w:hint="eastAsia"/>
          <w:lang w:val="en-US"/>
        </w:rPr>
        <w:t>4.</w:t>
      </w:r>
      <w:r>
        <w:rPr>
          <w:rFonts w:hint="eastAsia"/>
          <w:lang w:val="en-US" w:eastAsia="zh-CN"/>
        </w:rPr>
        <w:t>4</w:t>
      </w:r>
      <w:r>
        <w:t>本项目不接受联合体投标。</w:t>
      </w:r>
    </w:p>
    <w:p>
      <w:pPr>
        <w:pStyle w:val="11"/>
        <w:spacing w:line="360" w:lineRule="exact"/>
        <w:ind w:firstLine="964" w:firstLineChars="400"/>
        <w:rPr>
          <w:b/>
          <w:bCs/>
        </w:rPr>
      </w:pPr>
      <w:r>
        <w:rPr>
          <w:b/>
          <w:bCs/>
        </w:rPr>
        <w:t>五、</w:t>
      </w:r>
      <w:r>
        <w:rPr>
          <w:rFonts w:hint="eastAsia"/>
          <w:b/>
          <w:bCs/>
          <w:lang w:eastAsia="zh-CN"/>
        </w:rPr>
        <w:t>竞争性磋商</w:t>
      </w:r>
      <w:r>
        <w:rPr>
          <w:b/>
          <w:bCs/>
        </w:rPr>
        <w:t>的获取</w:t>
      </w:r>
    </w:p>
    <w:p>
      <w:pPr>
        <w:pStyle w:val="11"/>
        <w:spacing w:line="360" w:lineRule="exact"/>
        <w:ind w:left="1437" w:leftChars="435" w:hanging="480" w:hangingChars="200"/>
        <w:rPr>
          <w:spacing w:val="-24"/>
        </w:rPr>
      </w:pPr>
      <w:r>
        <w:t>5.1</w:t>
      </w:r>
      <w:r>
        <w:rPr>
          <w:spacing w:val="-24"/>
        </w:rPr>
        <w:t xml:space="preserve"> 、</w:t>
      </w:r>
      <w:r>
        <w:rPr>
          <w:rFonts w:hint="eastAsia"/>
          <w:spacing w:val="-24"/>
        </w:rPr>
        <w:t>凡有意参加投标者，请于2021年</w:t>
      </w:r>
      <w:r>
        <w:rPr>
          <w:rFonts w:hint="eastAsia"/>
          <w:spacing w:val="-24"/>
          <w:lang w:val="en-US" w:eastAsia="zh-CN"/>
        </w:rPr>
        <w:t>10</w:t>
      </w:r>
      <w:r>
        <w:rPr>
          <w:rFonts w:hint="eastAsia"/>
          <w:spacing w:val="-24"/>
        </w:rPr>
        <w:t>月</w:t>
      </w:r>
      <w:r>
        <w:rPr>
          <w:rFonts w:hint="eastAsia"/>
          <w:spacing w:val="-24"/>
          <w:lang w:val="en-US" w:eastAsia="zh-CN"/>
        </w:rPr>
        <w:t>13</w:t>
      </w:r>
      <w:r>
        <w:rPr>
          <w:rFonts w:hint="eastAsia"/>
          <w:spacing w:val="-24"/>
        </w:rPr>
        <w:t>日至2021年</w:t>
      </w:r>
      <w:r>
        <w:rPr>
          <w:rFonts w:hint="eastAsia"/>
          <w:spacing w:val="-24"/>
          <w:lang w:val="en-US" w:eastAsia="zh-CN"/>
        </w:rPr>
        <w:t>10</w:t>
      </w:r>
      <w:r>
        <w:rPr>
          <w:rFonts w:hint="eastAsia"/>
          <w:spacing w:val="-24"/>
        </w:rPr>
        <w:t>月</w:t>
      </w:r>
      <w:r>
        <w:rPr>
          <w:rFonts w:hint="eastAsia"/>
          <w:spacing w:val="-24"/>
          <w:lang w:val="en-US" w:eastAsia="zh-CN"/>
        </w:rPr>
        <w:t>19</w:t>
      </w:r>
      <w:r>
        <w:rPr>
          <w:rFonts w:hint="eastAsia"/>
          <w:spacing w:val="-24"/>
        </w:rPr>
        <w:t>日</w:t>
      </w:r>
      <w:r>
        <w:rPr>
          <w:spacing w:val="-24"/>
        </w:rPr>
        <w:t>(</w:t>
      </w:r>
      <w:r>
        <w:rPr>
          <w:rFonts w:hint="eastAsia"/>
          <w:spacing w:val="-24"/>
        </w:rPr>
        <w:t>北京时间，下同</w:t>
      </w:r>
      <w:r>
        <w:rPr>
          <w:spacing w:val="-24"/>
        </w:rPr>
        <w:t>)</w:t>
      </w:r>
      <w:r>
        <w:rPr>
          <w:rFonts w:hint="eastAsia"/>
          <w:spacing w:val="-24"/>
        </w:rPr>
        <w:t>，登录</w:t>
      </w:r>
    </w:p>
    <w:p>
      <w:pPr>
        <w:pStyle w:val="11"/>
        <w:spacing w:line="360" w:lineRule="exact"/>
        <w:ind w:left="480" w:leftChars="218"/>
      </w:pPr>
      <w:r>
        <w:rPr>
          <w:rFonts w:hint="eastAsia"/>
          <w:spacing w:val="-24"/>
        </w:rPr>
        <w:t>邢</w:t>
      </w:r>
      <w:r>
        <w:rPr>
          <w:rFonts w:hint="eastAsia"/>
        </w:rPr>
        <w:t>台市林业局网站下载</w:t>
      </w:r>
      <w:r>
        <w:t>电子</w:t>
      </w:r>
      <w:r>
        <w:rPr>
          <w:rFonts w:hint="eastAsia"/>
          <w:lang w:eastAsia="zh-CN"/>
        </w:rPr>
        <w:t>竞争性磋商</w:t>
      </w:r>
      <w:r>
        <w:t>文件、清单、澄清或修改等资料</w:t>
      </w:r>
      <w:r>
        <w:rPr>
          <w:rFonts w:hint="eastAsia"/>
        </w:rPr>
        <w:t>，并按招标文件要求时间，持相关证件到</w:t>
      </w:r>
      <w:r>
        <w:t>河北省邢台市襄都区中兴东大街73号</w:t>
      </w:r>
      <w:r>
        <w:rPr>
          <w:rFonts w:hint="eastAsia"/>
        </w:rPr>
        <w:t>，</w:t>
      </w:r>
      <w:r>
        <w:t>邢台创巢创业孵化基地</w:t>
      </w:r>
      <w:r>
        <w:rPr>
          <w:rFonts w:hint="eastAsia"/>
          <w:lang w:val="en-US"/>
        </w:rPr>
        <w:t>206房间完成报名</w:t>
      </w:r>
      <w:r>
        <w:t>。</w:t>
      </w:r>
    </w:p>
    <w:p>
      <w:pPr>
        <w:pStyle w:val="11"/>
        <w:spacing w:line="360" w:lineRule="exact"/>
        <w:ind w:left="958"/>
      </w:pPr>
      <w:r>
        <w:t>5.2、投标截止及开标时间：2021</w:t>
      </w:r>
      <w:r>
        <w:rPr>
          <w:spacing w:val="-40"/>
        </w:rPr>
        <w:t xml:space="preserve"> 年</w:t>
      </w:r>
      <w:r>
        <w:rPr>
          <w:rFonts w:hint="eastAsia"/>
          <w:spacing w:val="-40"/>
          <w:lang w:val="en-US"/>
        </w:rPr>
        <w:t xml:space="preserve">10 </w:t>
      </w:r>
      <w:r>
        <w:rPr>
          <w:spacing w:val="-40"/>
        </w:rPr>
        <w:t>月</w:t>
      </w:r>
      <w:r>
        <w:rPr>
          <w:rFonts w:hint="eastAsia"/>
          <w:spacing w:val="-40"/>
          <w:lang w:val="en-US" w:eastAsia="zh-CN"/>
        </w:rPr>
        <w:t>22</w:t>
      </w:r>
      <w:r>
        <w:rPr>
          <w:spacing w:val="-40"/>
        </w:rPr>
        <w:t>日</w:t>
      </w:r>
      <w:r>
        <w:rPr>
          <w:rFonts w:hint="eastAsia"/>
          <w:spacing w:val="-40"/>
          <w:lang w:val="en-US"/>
        </w:rPr>
        <w:t>9</w:t>
      </w:r>
      <w:r>
        <w:rPr>
          <w:spacing w:val="-41"/>
        </w:rPr>
        <w:t xml:space="preserve">时 </w:t>
      </w:r>
      <w:r>
        <w:t>00</w:t>
      </w:r>
      <w:r>
        <w:rPr>
          <w:spacing w:val="-30"/>
        </w:rPr>
        <w:t xml:space="preserve"> 分</w:t>
      </w:r>
      <w:r>
        <w:t>（北京时间）</w:t>
      </w:r>
    </w:p>
    <w:p>
      <w:pPr>
        <w:pStyle w:val="11"/>
        <w:spacing w:line="360" w:lineRule="exact"/>
        <w:ind w:left="1439" w:leftChars="436" w:hanging="480" w:hangingChars="200"/>
      </w:pPr>
      <w:r>
        <w:rPr>
          <w:rFonts w:hint="eastAsia"/>
          <w:lang w:val="en-US"/>
        </w:rPr>
        <w:t>5.3</w:t>
      </w:r>
      <w:r>
        <w:t>、开标地点：</w:t>
      </w:r>
      <w:r>
        <w:rPr>
          <w:rFonts w:hint="eastAsia"/>
        </w:rPr>
        <w:t>现场</w:t>
      </w:r>
      <w:r>
        <w:t>开标（河北省邢台市襄都区中兴东大街73号</w:t>
      </w:r>
      <w:r>
        <w:rPr>
          <w:rFonts w:hint="eastAsia"/>
        </w:rPr>
        <w:t>，</w:t>
      </w:r>
      <w:r>
        <w:t>邢台创巢创业孵化基</w:t>
      </w:r>
    </w:p>
    <w:p>
      <w:pPr>
        <w:pStyle w:val="11"/>
        <w:spacing w:line="360" w:lineRule="exact"/>
        <w:ind w:firstLine="480" w:firstLineChars="200"/>
        <w:rPr>
          <w:spacing w:val="-17"/>
          <w:lang w:val="en-US"/>
        </w:rPr>
      </w:pPr>
      <w:r>
        <w:t>地</w:t>
      </w:r>
      <w:r>
        <w:rPr>
          <w:rFonts w:hint="eastAsia"/>
          <w:lang w:val="en-US"/>
        </w:rPr>
        <w:t>206房间</w:t>
      </w:r>
      <w:r>
        <w:t>）</w:t>
      </w:r>
      <w:r>
        <w:rPr>
          <w:spacing w:val="-17"/>
        </w:rPr>
        <w:t>。</w:t>
      </w:r>
      <w:r>
        <w:rPr>
          <w:rFonts w:hint="eastAsia"/>
          <w:spacing w:val="-17"/>
          <w:lang w:val="en-US"/>
        </w:rPr>
        <w:t xml:space="preserve">       </w:t>
      </w:r>
    </w:p>
    <w:p>
      <w:pPr>
        <w:pStyle w:val="11"/>
        <w:spacing w:line="360" w:lineRule="exact"/>
        <w:ind w:firstLine="964" w:firstLineChars="400"/>
        <w:rPr>
          <w:b/>
        </w:rPr>
      </w:pPr>
      <w:r>
        <w:rPr>
          <w:b/>
          <w:bCs/>
        </w:rPr>
        <w:t>六、</w:t>
      </w:r>
      <w:r>
        <w:rPr>
          <w:rFonts w:hint="eastAsia"/>
          <w:b/>
          <w:bCs/>
          <w:lang w:eastAsia="zh-CN"/>
        </w:rPr>
        <w:t>竞争性磋商</w:t>
      </w:r>
      <w:r>
        <w:rPr>
          <w:b/>
          <w:bCs/>
        </w:rPr>
        <w:t>的递交</w:t>
      </w:r>
    </w:p>
    <w:p>
      <w:pPr>
        <w:pStyle w:val="29"/>
        <w:numPr>
          <w:ilvl w:val="1"/>
          <w:numId w:val="1"/>
        </w:numPr>
        <w:tabs>
          <w:tab w:val="left" w:pos="1427"/>
        </w:tabs>
        <w:spacing w:line="360" w:lineRule="exact"/>
        <w:ind w:right="386" w:firstLine="256"/>
        <w:rPr>
          <w:sz w:val="24"/>
        </w:rPr>
      </w:pPr>
      <w:r>
        <w:rPr>
          <w:rFonts w:hint="eastAsia"/>
          <w:spacing w:val="11"/>
          <w:sz w:val="24"/>
          <w:lang w:eastAsia="zh-CN"/>
        </w:rPr>
        <w:t>竞争性磋商文件</w:t>
      </w:r>
      <w:r>
        <w:rPr>
          <w:rFonts w:hint="eastAsia"/>
          <w:spacing w:val="11"/>
          <w:sz w:val="24"/>
        </w:rPr>
        <w:t>递交的截止时间为 2021年</w:t>
      </w:r>
      <w:r>
        <w:rPr>
          <w:rFonts w:hint="eastAsia"/>
          <w:spacing w:val="11"/>
          <w:sz w:val="24"/>
          <w:lang w:val="en-US"/>
        </w:rPr>
        <w:t>10</w:t>
      </w:r>
      <w:r>
        <w:rPr>
          <w:rFonts w:hint="eastAsia"/>
          <w:spacing w:val="11"/>
          <w:sz w:val="24"/>
        </w:rPr>
        <w:t>月</w:t>
      </w:r>
      <w:r>
        <w:rPr>
          <w:rFonts w:hint="eastAsia"/>
          <w:spacing w:val="11"/>
          <w:sz w:val="24"/>
          <w:lang w:val="en-US" w:eastAsia="zh-CN"/>
        </w:rPr>
        <w:t>22</w:t>
      </w:r>
      <w:r>
        <w:rPr>
          <w:rFonts w:hint="eastAsia"/>
          <w:spacing w:val="11"/>
          <w:sz w:val="24"/>
        </w:rPr>
        <w:t>日</w:t>
      </w:r>
      <w:r>
        <w:rPr>
          <w:rFonts w:hint="eastAsia"/>
          <w:spacing w:val="11"/>
          <w:sz w:val="24"/>
          <w:lang w:val="en-US"/>
        </w:rPr>
        <w:t>9</w:t>
      </w:r>
      <w:r>
        <w:rPr>
          <w:rFonts w:hint="eastAsia"/>
          <w:spacing w:val="11"/>
          <w:sz w:val="24"/>
        </w:rPr>
        <w:t>时00分，投标人未在截止时间前按规定时间和方式提交</w:t>
      </w:r>
      <w:r>
        <w:rPr>
          <w:rFonts w:hint="eastAsia"/>
          <w:spacing w:val="11"/>
          <w:sz w:val="24"/>
          <w:lang w:eastAsia="zh-CN"/>
        </w:rPr>
        <w:t>竞争性磋商文件</w:t>
      </w:r>
      <w:r>
        <w:rPr>
          <w:rFonts w:hint="eastAsia"/>
          <w:spacing w:val="11"/>
          <w:sz w:val="24"/>
        </w:rPr>
        <w:t>，招标人不予受理</w:t>
      </w:r>
      <w:r>
        <w:rPr>
          <w:spacing w:val="11"/>
          <w:sz w:val="24"/>
        </w:rPr>
        <w:t>。</w:t>
      </w:r>
    </w:p>
    <w:p>
      <w:pPr>
        <w:pStyle w:val="29"/>
        <w:tabs>
          <w:tab w:val="left" w:pos="1439"/>
        </w:tabs>
        <w:spacing w:line="360" w:lineRule="exact"/>
        <w:ind w:left="0" w:right="2164" w:firstLine="964" w:firstLineChars="400"/>
        <w:rPr>
          <w:b/>
          <w:sz w:val="24"/>
        </w:rPr>
      </w:pPr>
      <w:r>
        <w:rPr>
          <w:rFonts w:hint="eastAsia"/>
          <w:b/>
          <w:bCs/>
          <w:sz w:val="24"/>
          <w:szCs w:val="24"/>
          <w:lang w:val="en-US"/>
        </w:rPr>
        <w:t>七、</w:t>
      </w:r>
      <w:r>
        <w:rPr>
          <w:b/>
          <w:bCs/>
          <w:sz w:val="24"/>
          <w:szCs w:val="24"/>
        </w:rPr>
        <w:t>公告发布媒介</w:t>
      </w:r>
    </w:p>
    <w:p>
      <w:pPr>
        <w:spacing w:line="360" w:lineRule="exact"/>
        <w:ind w:left="478" w:right="662" w:firstLine="1038" w:firstLineChars="431"/>
        <w:rPr>
          <w:sz w:val="24"/>
        </w:rPr>
      </w:pPr>
      <w:r>
        <w:rPr>
          <w:rFonts w:hint="eastAsia"/>
          <w:b/>
          <w:bCs/>
          <w:sz w:val="24"/>
          <w:szCs w:val="24"/>
          <w:u w:val="single"/>
        </w:rPr>
        <w:t>邢台市林业局网站</w:t>
      </w:r>
      <w:r>
        <w:rPr>
          <w:sz w:val="24"/>
        </w:rPr>
        <w:t>。</w:t>
      </w:r>
    </w:p>
    <w:p>
      <w:pPr>
        <w:pStyle w:val="11"/>
        <w:spacing w:line="360" w:lineRule="exact"/>
        <w:ind w:firstLine="964" w:firstLineChars="400"/>
        <w:rPr>
          <w:b/>
          <w:bCs/>
        </w:rPr>
      </w:pPr>
      <w:r>
        <w:rPr>
          <w:b/>
          <w:bCs/>
        </w:rPr>
        <w:t>八、联系方式</w:t>
      </w:r>
    </w:p>
    <w:p>
      <w:pPr>
        <w:pStyle w:val="11"/>
        <w:spacing w:line="360" w:lineRule="exact"/>
        <w:ind w:firstLine="960" w:firstLineChars="400"/>
      </w:pPr>
      <w:r>
        <w:t>招标人：</w:t>
      </w:r>
      <w:r>
        <w:rPr>
          <w:rFonts w:hint="eastAsia"/>
        </w:rPr>
        <w:t>邢台市林业局</w:t>
      </w:r>
    </w:p>
    <w:p>
      <w:pPr>
        <w:pStyle w:val="11"/>
        <w:spacing w:line="360" w:lineRule="exact"/>
        <w:ind w:firstLine="960" w:firstLineChars="400"/>
      </w:pPr>
      <w:r>
        <w:t>地址：</w:t>
      </w:r>
      <w:r>
        <w:rPr>
          <w:rFonts w:hint="eastAsia"/>
          <w:lang w:val="en-US"/>
        </w:rPr>
        <w:t xml:space="preserve">河北省邢台市信都区守敬北路188号 </w:t>
      </w:r>
    </w:p>
    <w:p>
      <w:pPr>
        <w:pStyle w:val="11"/>
        <w:spacing w:line="360" w:lineRule="exact"/>
        <w:ind w:firstLine="960" w:firstLineChars="400"/>
      </w:pPr>
      <w:r>
        <w:t>联系人：</w:t>
      </w:r>
      <w:r>
        <w:rPr>
          <w:rFonts w:hint="eastAsia"/>
          <w:lang w:val="en-US"/>
        </w:rPr>
        <w:t>李女士</w:t>
      </w:r>
    </w:p>
    <w:p>
      <w:pPr>
        <w:pStyle w:val="11"/>
        <w:spacing w:line="360" w:lineRule="exact"/>
        <w:ind w:firstLine="960" w:firstLineChars="400"/>
        <w:rPr>
          <w:lang w:val="en-US"/>
        </w:rPr>
      </w:pPr>
      <w:r>
        <w:t>联系电话：</w:t>
      </w:r>
      <w:r>
        <w:rPr>
          <w:color w:val="333333"/>
          <w:sz w:val="27"/>
          <w:szCs w:val="27"/>
        </w:rPr>
        <w:t>0319-2253314</w:t>
      </w:r>
    </w:p>
    <w:p>
      <w:pPr>
        <w:pStyle w:val="11"/>
        <w:spacing w:line="360" w:lineRule="exact"/>
        <w:ind w:firstLine="960" w:firstLineChars="400"/>
      </w:pPr>
      <w:r>
        <w:t>代理机构：</w:t>
      </w:r>
      <w:r>
        <w:rPr>
          <w:rFonts w:hint="eastAsia"/>
        </w:rPr>
        <w:t>邢台华铭工程项目管理有限公司</w:t>
      </w:r>
    </w:p>
    <w:p>
      <w:pPr>
        <w:pStyle w:val="11"/>
        <w:spacing w:line="360" w:lineRule="exact"/>
        <w:ind w:firstLine="960" w:firstLineChars="400"/>
      </w:pPr>
      <w:r>
        <w:t>地址：</w:t>
      </w:r>
      <w:r>
        <w:rPr>
          <w:rFonts w:ascii="Arial" w:hAnsi="Arial" w:eastAsia="Arial" w:cs="Arial"/>
          <w:color w:val="222222"/>
          <w:sz w:val="21"/>
          <w:szCs w:val="21"/>
          <w:shd w:val="clear" w:color="auto" w:fill="FFFFFF"/>
        </w:rPr>
        <w:t>河北省邢台市桥东区中兴东大街世贸天街C座五层523内</w:t>
      </w:r>
    </w:p>
    <w:p>
      <w:pPr>
        <w:pStyle w:val="11"/>
        <w:spacing w:line="360" w:lineRule="exact"/>
        <w:ind w:firstLine="960" w:firstLineChars="400"/>
      </w:pPr>
      <w:r>
        <w:t>联系人：</w:t>
      </w:r>
      <w:r>
        <w:rPr>
          <w:rFonts w:hint="eastAsia"/>
        </w:rPr>
        <w:t>孙雨</w:t>
      </w:r>
    </w:p>
    <w:p>
      <w:pPr>
        <w:pStyle w:val="11"/>
        <w:spacing w:line="360" w:lineRule="exact"/>
        <w:ind w:firstLine="960" w:firstLineChars="400"/>
        <w:rPr>
          <w:sz w:val="20"/>
          <w:lang w:val="en-US"/>
        </w:rPr>
      </w:pPr>
      <w:r>
        <w:t>联系电话：</w:t>
      </w:r>
      <w:r>
        <w:rPr>
          <w:rFonts w:hint="eastAsia"/>
          <w:lang w:val="en-US"/>
        </w:rPr>
        <w:t>13932940937</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2"/>
      </w:pPr>
    </w:p>
    <w:p/>
    <w:p>
      <w:pPr>
        <w:pStyle w:val="2"/>
        <w:ind w:left="880" w:hanging="440"/>
      </w:pPr>
    </w:p>
    <w:p/>
    <w:p>
      <w:pPr>
        <w:pStyle w:val="2"/>
        <w:ind w:left="880" w:hanging="440"/>
      </w:pPr>
    </w:p>
    <w:p/>
    <w:p>
      <w:pPr>
        <w:pStyle w:val="2"/>
        <w:ind w:left="880" w:hanging="440"/>
      </w:pPr>
    </w:p>
    <w:p/>
    <w:p>
      <w:pPr>
        <w:pStyle w:val="2"/>
        <w:ind w:left="880" w:hanging="440"/>
      </w:pPr>
    </w:p>
    <w:p/>
    <w:p>
      <w:pPr>
        <w:pStyle w:val="2"/>
      </w:pPr>
    </w:p>
    <w:p/>
    <w:p>
      <w:pPr>
        <w:pStyle w:val="2"/>
        <w:ind w:left="880" w:hanging="440"/>
      </w:pPr>
    </w:p>
    <w:p/>
    <w:p>
      <w:pPr>
        <w:pStyle w:val="2"/>
        <w:ind w:left="880" w:hanging="440"/>
      </w:pPr>
    </w:p>
    <w:p/>
    <w:p>
      <w:pPr>
        <w:pStyle w:val="2"/>
        <w:ind w:left="880" w:hanging="440"/>
      </w:pPr>
    </w:p>
    <w:p>
      <w:pPr>
        <w:pStyle w:val="11"/>
        <w:rPr>
          <w:sz w:val="20"/>
        </w:rPr>
      </w:pPr>
    </w:p>
    <w:p>
      <w:pPr>
        <w:pStyle w:val="11"/>
        <w:rPr>
          <w:sz w:val="20"/>
        </w:rPr>
      </w:pPr>
    </w:p>
    <w:p>
      <w:pPr>
        <w:pStyle w:val="11"/>
        <w:rPr>
          <w:sz w:val="20"/>
        </w:rPr>
      </w:pPr>
    </w:p>
    <w:p>
      <w:pPr>
        <w:pStyle w:val="11"/>
        <w:spacing w:before="8"/>
        <w:rPr>
          <w:sz w:val="20"/>
        </w:rPr>
      </w:pPr>
    </w:p>
    <w:p>
      <w:pPr>
        <w:pStyle w:val="11"/>
        <w:spacing w:before="8"/>
        <w:rPr>
          <w:sz w:val="20"/>
        </w:rPr>
      </w:pPr>
    </w:p>
    <w:p>
      <w:pPr>
        <w:pStyle w:val="3"/>
      </w:pPr>
      <w:bookmarkStart w:id="2" w:name="第一章__投标须知前附表及投标须知"/>
      <w:bookmarkEnd w:id="2"/>
      <w:r>
        <w:t>第一部分</w:t>
      </w:r>
    </w:p>
    <w:p>
      <w:pPr>
        <w:pStyle w:val="4"/>
        <w:spacing w:before="284"/>
        <w:ind w:left="4721" w:right="0"/>
        <w:jc w:val="left"/>
      </w:pPr>
      <w:r>
        <w:t>目录</w:t>
      </w:r>
    </w:p>
    <w:p>
      <w:pPr>
        <w:pStyle w:val="5"/>
        <w:tabs>
          <w:tab w:val="left" w:pos="2515"/>
        </w:tabs>
        <w:spacing w:before="78" w:line="292" w:lineRule="auto"/>
        <w:ind w:right="3698"/>
        <w:jc w:val="left"/>
        <w:rPr>
          <w:rFonts w:hint="eastAsia"/>
          <w:spacing w:val="19"/>
        </w:rPr>
      </w:pPr>
      <w:r>
        <w:rPr>
          <w:spacing w:val="19"/>
        </w:rPr>
        <w:t>第一章</w:t>
      </w:r>
      <w:r>
        <w:rPr>
          <w:rFonts w:hint="eastAsia"/>
          <w:spacing w:val="19"/>
          <w:lang w:val="en-US"/>
        </w:rPr>
        <w:t xml:space="preserve"> </w:t>
      </w:r>
      <w:r>
        <w:rPr>
          <w:rFonts w:hint="eastAsia"/>
          <w:spacing w:val="19"/>
        </w:rPr>
        <w:t>竞争性磋商须知及前附表</w:t>
      </w:r>
    </w:p>
    <w:p>
      <w:pPr>
        <w:pStyle w:val="5"/>
        <w:tabs>
          <w:tab w:val="left" w:pos="2515"/>
        </w:tabs>
        <w:spacing w:before="78" w:line="292" w:lineRule="auto"/>
        <w:ind w:right="3698"/>
        <w:jc w:val="left"/>
        <w:rPr>
          <w:spacing w:val="19"/>
        </w:rPr>
      </w:pPr>
      <w:r>
        <w:rPr>
          <w:spacing w:val="19"/>
        </w:rPr>
        <w:t>第</w:t>
      </w:r>
      <w:r>
        <w:rPr>
          <w:rFonts w:hint="eastAsia"/>
          <w:spacing w:val="17"/>
        </w:rPr>
        <w:t>二</w:t>
      </w:r>
      <w:r>
        <w:t>章</w:t>
      </w:r>
      <w:r>
        <w:rPr>
          <w:rFonts w:hint="eastAsia"/>
          <w:lang w:val="en-US"/>
        </w:rPr>
        <w:t xml:space="preserve"> </w:t>
      </w:r>
      <w:r>
        <w:rPr>
          <w:rFonts w:hint="eastAsia"/>
          <w:spacing w:val="19"/>
        </w:rPr>
        <w:t>项目说明及要求</w:t>
      </w:r>
    </w:p>
    <w:p>
      <w:pPr>
        <w:pStyle w:val="5"/>
        <w:tabs>
          <w:tab w:val="left" w:pos="2515"/>
        </w:tabs>
        <w:spacing w:before="78" w:line="292" w:lineRule="auto"/>
        <w:ind w:right="3698"/>
        <w:jc w:val="left"/>
        <w:rPr>
          <w:spacing w:val="19"/>
        </w:rPr>
      </w:pPr>
      <w:r>
        <w:rPr>
          <w:rFonts w:hint="eastAsia"/>
          <w:spacing w:val="19"/>
        </w:rPr>
        <w:t>第三章</w:t>
      </w:r>
      <w:r>
        <w:rPr>
          <w:rFonts w:hint="eastAsia"/>
          <w:spacing w:val="19"/>
          <w:lang w:val="en-US"/>
        </w:rPr>
        <w:t xml:space="preserve"> </w:t>
      </w:r>
      <w:r>
        <w:rPr>
          <w:rFonts w:hint="eastAsia"/>
          <w:spacing w:val="19"/>
        </w:rPr>
        <w:t>合同主要条款</w:t>
      </w:r>
    </w:p>
    <w:p>
      <w:pPr>
        <w:pStyle w:val="5"/>
        <w:tabs>
          <w:tab w:val="left" w:pos="2515"/>
        </w:tabs>
        <w:spacing w:before="78" w:line="292" w:lineRule="auto"/>
        <w:ind w:right="3698"/>
        <w:jc w:val="left"/>
        <w:rPr>
          <w:spacing w:val="19"/>
          <w:lang w:val="en-US"/>
        </w:rPr>
      </w:pPr>
      <w:r>
        <w:rPr>
          <w:rFonts w:hint="eastAsia"/>
          <w:spacing w:val="19"/>
        </w:rPr>
        <w:t>第四章</w:t>
      </w:r>
      <w:r>
        <w:rPr>
          <w:rFonts w:hint="eastAsia"/>
          <w:spacing w:val="19"/>
          <w:lang w:val="en-US"/>
        </w:rPr>
        <w:t xml:space="preserve"> </w:t>
      </w:r>
      <w:r>
        <w:rPr>
          <w:spacing w:val="19"/>
          <w:lang w:val="en-US"/>
        </w:rPr>
        <w:t>评标办法和标准</w:t>
      </w:r>
    </w:p>
    <w:p>
      <w:pPr>
        <w:widowControl/>
        <w:rPr>
          <w:b/>
          <w:bCs/>
          <w:spacing w:val="19"/>
          <w:sz w:val="32"/>
          <w:szCs w:val="32"/>
          <w:lang w:val="en-US"/>
        </w:rPr>
      </w:pPr>
      <w:r>
        <w:rPr>
          <w:rFonts w:hint="eastAsia"/>
          <w:b/>
          <w:bCs/>
          <w:spacing w:val="19"/>
          <w:sz w:val="32"/>
          <w:szCs w:val="32"/>
          <w:lang w:val="en-US"/>
        </w:rPr>
        <w:t xml:space="preserve">第五章 </w:t>
      </w:r>
      <w:r>
        <w:rPr>
          <w:rFonts w:hint="eastAsia"/>
          <w:b/>
          <w:bCs/>
          <w:spacing w:val="19"/>
          <w:sz w:val="32"/>
          <w:szCs w:val="32"/>
          <w:lang w:val="en-US" w:eastAsia="zh-CN"/>
        </w:rPr>
        <w:t>竞争性磋商文件</w:t>
      </w:r>
      <w:r>
        <w:rPr>
          <w:rFonts w:hint="eastAsia"/>
          <w:b/>
          <w:bCs/>
          <w:spacing w:val="19"/>
          <w:sz w:val="32"/>
          <w:szCs w:val="32"/>
          <w:lang w:val="en-US"/>
        </w:rPr>
        <w:t>格式</w:t>
      </w:r>
    </w:p>
    <w:p>
      <w:pPr>
        <w:pStyle w:val="5"/>
        <w:tabs>
          <w:tab w:val="left" w:pos="2515"/>
        </w:tabs>
        <w:spacing w:before="78" w:line="292" w:lineRule="auto"/>
        <w:ind w:right="3698"/>
        <w:jc w:val="left"/>
        <w:rPr>
          <w:spacing w:val="19"/>
          <w:lang w:val="en-US"/>
        </w:rPr>
      </w:pPr>
      <w:r>
        <w:rPr>
          <w:rFonts w:hint="eastAsia"/>
          <w:spacing w:val="19"/>
        </w:rPr>
        <w:t>第六章</w:t>
      </w:r>
      <w:r>
        <w:rPr>
          <w:rFonts w:hint="eastAsia"/>
          <w:spacing w:val="19"/>
          <w:lang w:val="en-US"/>
        </w:rPr>
        <w:t xml:space="preserve"> 补遗书及答疑纪要（如有）</w:t>
      </w: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pStyle w:val="2"/>
        <w:ind w:left="880" w:hanging="440"/>
        <w:rPr>
          <w:lang w:val="en-US"/>
        </w:rPr>
      </w:pPr>
    </w:p>
    <w:p>
      <w:pPr>
        <w:rPr>
          <w:lang w:val="en-US"/>
        </w:rPr>
      </w:pPr>
    </w:p>
    <w:p>
      <w:pPr>
        <w:rPr>
          <w:lang w:val="en-US"/>
        </w:rPr>
      </w:pPr>
    </w:p>
    <w:p>
      <w:pPr>
        <w:pStyle w:val="2"/>
        <w:ind w:left="880" w:hanging="440"/>
        <w:rPr>
          <w:lang w:val="en-US"/>
        </w:rPr>
      </w:pPr>
    </w:p>
    <w:p>
      <w:pPr>
        <w:rPr>
          <w:lang w:val="en-US"/>
        </w:rPr>
      </w:pPr>
    </w:p>
    <w:p>
      <w:pPr>
        <w:tabs>
          <w:tab w:val="left" w:pos="1684"/>
        </w:tabs>
        <w:spacing w:before="32"/>
        <w:ind w:right="54"/>
        <w:jc w:val="center"/>
        <w:rPr>
          <w:b/>
          <w:spacing w:val="16"/>
          <w:sz w:val="40"/>
        </w:rPr>
      </w:pPr>
      <w:r>
        <w:rPr>
          <w:b/>
          <w:spacing w:val="16"/>
          <w:sz w:val="40"/>
        </w:rPr>
        <w:t>第一章</w:t>
      </w:r>
      <w:r>
        <w:rPr>
          <w:b/>
          <w:spacing w:val="16"/>
          <w:sz w:val="40"/>
        </w:rPr>
        <w:tab/>
      </w:r>
      <w:r>
        <w:rPr>
          <w:rFonts w:hint="eastAsia"/>
          <w:b/>
          <w:spacing w:val="16"/>
          <w:sz w:val="40"/>
        </w:rPr>
        <w:t>竞争性磋商须知及前附表</w:t>
      </w:r>
    </w:p>
    <w:p>
      <w:pPr>
        <w:pStyle w:val="4"/>
        <w:spacing w:before="166" w:after="38"/>
        <w:ind w:right="44"/>
      </w:pPr>
      <w:bookmarkStart w:id="3" w:name="一、投标人须知前附表"/>
      <w:bookmarkEnd w:id="3"/>
      <w:r>
        <w:t>一、投标人须知前附表</w:t>
      </w:r>
    </w:p>
    <w:tbl>
      <w:tblPr>
        <w:tblStyle w:val="20"/>
        <w:tblW w:w="9797" w:type="dxa"/>
        <w:tblInd w:w="461"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680"/>
        <w:gridCol w:w="1011"/>
        <w:gridCol w:w="810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28" w:hRule="atLeast"/>
        </w:trPr>
        <w:tc>
          <w:tcPr>
            <w:tcW w:w="680" w:type="dxa"/>
            <w:tcBorders>
              <w:bottom w:val="single" w:color="000000" w:sz="6" w:space="0"/>
              <w:right w:val="single" w:color="000000" w:sz="6" w:space="0"/>
            </w:tcBorders>
          </w:tcPr>
          <w:p>
            <w:pPr>
              <w:pStyle w:val="30"/>
              <w:spacing w:before="140"/>
              <w:ind w:left="205" w:right="217"/>
              <w:jc w:val="center"/>
              <w:rPr>
                <w:sz w:val="21"/>
                <w:szCs w:val="21"/>
              </w:rPr>
            </w:pPr>
            <w:r>
              <w:rPr>
                <w:sz w:val="21"/>
                <w:szCs w:val="21"/>
              </w:rPr>
              <w:t>项号</w:t>
            </w:r>
          </w:p>
        </w:tc>
        <w:tc>
          <w:tcPr>
            <w:tcW w:w="1011" w:type="dxa"/>
            <w:tcBorders>
              <w:left w:val="single" w:color="000000" w:sz="6" w:space="0"/>
              <w:bottom w:val="single" w:color="000000" w:sz="6" w:space="0"/>
              <w:right w:val="single" w:color="000000" w:sz="6" w:space="0"/>
            </w:tcBorders>
          </w:tcPr>
          <w:p>
            <w:pPr>
              <w:pStyle w:val="30"/>
              <w:tabs>
                <w:tab w:val="left" w:pos="467"/>
              </w:tabs>
              <w:spacing w:before="140"/>
              <w:ind w:right="6"/>
              <w:jc w:val="center"/>
              <w:rPr>
                <w:sz w:val="21"/>
                <w:szCs w:val="21"/>
              </w:rPr>
            </w:pPr>
            <w:r>
              <w:rPr>
                <w:sz w:val="21"/>
                <w:szCs w:val="21"/>
              </w:rPr>
              <w:t>内</w:t>
            </w:r>
            <w:r>
              <w:rPr>
                <w:sz w:val="21"/>
                <w:szCs w:val="21"/>
              </w:rPr>
              <w:tab/>
            </w:r>
            <w:r>
              <w:rPr>
                <w:sz w:val="21"/>
                <w:szCs w:val="21"/>
              </w:rPr>
              <w:t>容</w:t>
            </w:r>
          </w:p>
        </w:tc>
        <w:tc>
          <w:tcPr>
            <w:tcW w:w="8106" w:type="dxa"/>
            <w:tcBorders>
              <w:left w:val="single" w:color="000000" w:sz="6" w:space="0"/>
              <w:bottom w:val="single" w:color="000000" w:sz="6" w:space="0"/>
            </w:tcBorders>
          </w:tcPr>
          <w:p>
            <w:pPr>
              <w:pStyle w:val="30"/>
              <w:spacing w:before="140"/>
              <w:ind w:left="2809" w:right="2809"/>
              <w:jc w:val="center"/>
              <w:rPr>
                <w:sz w:val="21"/>
                <w:szCs w:val="21"/>
              </w:rPr>
            </w:pPr>
            <w:r>
              <w:rPr>
                <w:sz w:val="21"/>
                <w:szCs w:val="21"/>
              </w:rPr>
              <w:t>说明及要求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7" w:hRule="atLeast"/>
        </w:trPr>
        <w:tc>
          <w:tcPr>
            <w:tcW w:w="680" w:type="dxa"/>
            <w:tcBorders>
              <w:top w:val="single" w:color="000000" w:sz="6" w:space="0"/>
              <w:bottom w:val="single" w:color="000000" w:sz="6" w:space="0"/>
              <w:right w:val="single" w:color="000000" w:sz="6" w:space="0"/>
            </w:tcBorders>
          </w:tcPr>
          <w:p>
            <w:pPr>
              <w:pStyle w:val="30"/>
              <w:spacing w:before="151"/>
              <w:ind w:right="6"/>
              <w:jc w:val="center"/>
              <w:rPr>
                <w:sz w:val="21"/>
                <w:szCs w:val="21"/>
              </w:rPr>
            </w:pPr>
            <w:r>
              <w:rPr>
                <w:w w:val="99"/>
                <w:sz w:val="21"/>
                <w:szCs w:val="21"/>
              </w:rPr>
              <w:t>1</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51"/>
              <w:ind w:right="9"/>
              <w:jc w:val="center"/>
              <w:rPr>
                <w:sz w:val="21"/>
                <w:szCs w:val="21"/>
              </w:rPr>
            </w:pPr>
            <w:r>
              <w:rPr>
                <w:rFonts w:hint="eastAsia"/>
                <w:sz w:val="21"/>
                <w:szCs w:val="21"/>
              </w:rPr>
              <w:t>项目</w:t>
            </w:r>
            <w:r>
              <w:rPr>
                <w:sz w:val="21"/>
                <w:szCs w:val="21"/>
              </w:rPr>
              <w:t>名称</w:t>
            </w:r>
          </w:p>
        </w:tc>
        <w:tc>
          <w:tcPr>
            <w:tcW w:w="8106" w:type="dxa"/>
            <w:tcBorders>
              <w:top w:val="single" w:color="000000" w:sz="6" w:space="0"/>
              <w:left w:val="single" w:color="000000" w:sz="6" w:space="0"/>
              <w:bottom w:val="single" w:color="000000" w:sz="6" w:space="0"/>
            </w:tcBorders>
          </w:tcPr>
          <w:p>
            <w:pPr>
              <w:pStyle w:val="30"/>
              <w:spacing w:before="139"/>
              <w:ind w:left="104"/>
              <w:rPr>
                <w:sz w:val="21"/>
                <w:szCs w:val="21"/>
              </w:rPr>
            </w:pPr>
            <w:r>
              <w:rPr>
                <w:rFonts w:hint="eastAsia"/>
                <w:b/>
                <w:sz w:val="24"/>
                <w:szCs w:val="24"/>
              </w:rPr>
              <w:t>邢台市草原有害生物普查第三方服务项目</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83" w:hRule="atLeast"/>
        </w:trPr>
        <w:tc>
          <w:tcPr>
            <w:tcW w:w="680" w:type="dxa"/>
            <w:tcBorders>
              <w:top w:val="single" w:color="000000" w:sz="6" w:space="0"/>
              <w:bottom w:val="single" w:color="000000" w:sz="6" w:space="0"/>
              <w:right w:val="single" w:color="000000" w:sz="6" w:space="0"/>
            </w:tcBorders>
          </w:tcPr>
          <w:p>
            <w:pPr>
              <w:pStyle w:val="30"/>
              <w:spacing w:before="11"/>
              <w:rPr>
                <w:b/>
                <w:sz w:val="21"/>
                <w:szCs w:val="21"/>
              </w:rPr>
            </w:pPr>
          </w:p>
          <w:p>
            <w:pPr>
              <w:pStyle w:val="30"/>
              <w:ind w:right="6"/>
              <w:jc w:val="center"/>
              <w:rPr>
                <w:rFonts w:hint="eastAsia" w:eastAsia="宋体"/>
                <w:sz w:val="21"/>
                <w:szCs w:val="21"/>
                <w:lang w:eastAsia="zh-CN"/>
              </w:rPr>
            </w:pPr>
            <w:r>
              <w:rPr>
                <w:rFonts w:hint="eastAsia"/>
                <w:w w:val="99"/>
                <w:sz w:val="21"/>
                <w:szCs w:val="21"/>
                <w:lang w:val="en-US" w:eastAsia="zh-CN"/>
              </w:rPr>
              <w:t>2</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1"/>
              <w:rPr>
                <w:b/>
                <w:sz w:val="21"/>
                <w:szCs w:val="21"/>
              </w:rPr>
            </w:pPr>
          </w:p>
          <w:p>
            <w:pPr>
              <w:pStyle w:val="30"/>
              <w:ind w:right="9"/>
              <w:jc w:val="center"/>
              <w:rPr>
                <w:sz w:val="21"/>
                <w:szCs w:val="21"/>
              </w:rPr>
            </w:pPr>
            <w:r>
              <w:rPr>
                <w:rFonts w:hint="eastAsia"/>
                <w:sz w:val="24"/>
                <w:szCs w:val="24"/>
              </w:rPr>
              <w:t>采购服务内容</w:t>
            </w:r>
          </w:p>
        </w:tc>
        <w:tc>
          <w:tcPr>
            <w:tcW w:w="8106" w:type="dxa"/>
            <w:tcBorders>
              <w:top w:val="single" w:color="000000" w:sz="6" w:space="0"/>
              <w:left w:val="single" w:color="000000" w:sz="6" w:space="0"/>
              <w:bottom w:val="single" w:color="000000" w:sz="6" w:space="0"/>
            </w:tcBorders>
            <w:vAlign w:val="center"/>
          </w:tcPr>
          <w:p>
            <w:pPr>
              <w:pStyle w:val="54"/>
              <w:spacing w:after="0" w:line="340" w:lineRule="exact"/>
              <w:rPr>
                <w:rFonts w:ascii="宋体" w:hAnsi="宋体" w:cs="宋体"/>
                <w:sz w:val="24"/>
                <w:szCs w:val="24"/>
              </w:rPr>
            </w:pPr>
            <w:r>
              <w:rPr>
                <w:rFonts w:hint="eastAsia" w:ascii="宋体" w:hAnsi="宋体" w:cs="宋体"/>
                <w:sz w:val="24"/>
                <w:szCs w:val="24"/>
              </w:rPr>
              <w:t>（一）采购方制定的草原有害生物普查实施方案和普查技术方案。</w:t>
            </w:r>
          </w:p>
          <w:p>
            <w:pPr>
              <w:pStyle w:val="54"/>
              <w:spacing w:after="0" w:line="340" w:lineRule="exact"/>
              <w:rPr>
                <w:rFonts w:ascii="宋体" w:hAnsi="宋体" w:cs="宋体"/>
                <w:sz w:val="24"/>
                <w:szCs w:val="24"/>
              </w:rPr>
            </w:pPr>
            <w:r>
              <w:rPr>
                <w:rFonts w:hint="eastAsia" w:ascii="宋体" w:hAnsi="宋体" w:cs="宋体"/>
                <w:sz w:val="24"/>
                <w:szCs w:val="24"/>
              </w:rPr>
              <w:t>（二）按国家、省要求，通过系统上传有关资料，完成任务。</w:t>
            </w:r>
          </w:p>
          <w:p>
            <w:pPr>
              <w:pStyle w:val="54"/>
              <w:spacing w:after="0" w:line="340" w:lineRule="exact"/>
            </w:pPr>
            <w:r>
              <w:rPr>
                <w:rFonts w:hint="eastAsia" w:ascii="宋体" w:hAnsi="宋体" w:cs="宋体"/>
                <w:sz w:val="24"/>
                <w:szCs w:val="24"/>
              </w:rPr>
              <w:t>（三）对全市范围内草原有害生物种类、寄主植物、危害部位或危害方式、种群密度、发生范围、分布范围、发生面积、入侵物种等进行调查。</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3" w:hRule="atLeast"/>
        </w:trPr>
        <w:tc>
          <w:tcPr>
            <w:tcW w:w="680" w:type="dxa"/>
            <w:tcBorders>
              <w:top w:val="single" w:color="000000" w:sz="6" w:space="0"/>
              <w:bottom w:val="single" w:color="000000" w:sz="6" w:space="0"/>
              <w:right w:val="single" w:color="000000" w:sz="6" w:space="0"/>
            </w:tcBorders>
          </w:tcPr>
          <w:p>
            <w:pPr>
              <w:pStyle w:val="30"/>
              <w:spacing w:before="115"/>
              <w:ind w:right="6"/>
              <w:jc w:val="center"/>
              <w:rPr>
                <w:rFonts w:hint="eastAsia" w:eastAsia="宋体"/>
                <w:sz w:val="21"/>
                <w:szCs w:val="21"/>
                <w:lang w:eastAsia="zh-CN"/>
              </w:rPr>
            </w:pPr>
            <w:r>
              <w:rPr>
                <w:rFonts w:hint="eastAsia"/>
                <w:w w:val="99"/>
                <w:sz w:val="21"/>
                <w:szCs w:val="21"/>
                <w:lang w:val="en-US" w:eastAsia="zh-CN"/>
              </w:rPr>
              <w:t>3</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15"/>
              <w:ind w:right="9"/>
              <w:jc w:val="center"/>
              <w:rPr>
                <w:sz w:val="21"/>
                <w:szCs w:val="21"/>
              </w:rPr>
            </w:pPr>
            <w:r>
              <w:rPr>
                <w:rFonts w:hint="eastAsia"/>
                <w:sz w:val="24"/>
                <w:szCs w:val="24"/>
              </w:rPr>
              <w:t>提交成果</w:t>
            </w:r>
          </w:p>
        </w:tc>
        <w:tc>
          <w:tcPr>
            <w:tcW w:w="8106" w:type="dxa"/>
            <w:tcBorders>
              <w:top w:val="single" w:color="000000" w:sz="6" w:space="0"/>
              <w:left w:val="single" w:color="000000" w:sz="6" w:space="0"/>
              <w:bottom w:val="single" w:color="000000" w:sz="6" w:space="0"/>
            </w:tcBorders>
          </w:tcPr>
          <w:p>
            <w:pPr>
              <w:pStyle w:val="30"/>
              <w:spacing w:before="84"/>
              <w:ind w:left="104"/>
              <w:rPr>
                <w:sz w:val="21"/>
                <w:szCs w:val="21"/>
              </w:rPr>
            </w:pPr>
            <w:r>
              <w:rPr>
                <w:rFonts w:hint="eastAsia"/>
                <w:sz w:val="24"/>
                <w:szCs w:val="24"/>
              </w:rPr>
              <w:t>满足国家、省普查要求。一是提供标本、影像资料。主要有害生物标本和影像资料；二是工作报告和普查结果报告。根据采购方需要，协助完成普查工作总结报告，为采购方提交普查结果报告内容包括：本辖区草原有害生物种类及其发生分布情况、草原有害生物发生趋势分析及主要草原有害生物风险评估报告等</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680" w:type="dxa"/>
            <w:tcBorders>
              <w:top w:val="single" w:color="000000" w:sz="6" w:space="0"/>
              <w:bottom w:val="single" w:color="000000" w:sz="6" w:space="0"/>
              <w:right w:val="single" w:color="000000" w:sz="6" w:space="0"/>
            </w:tcBorders>
          </w:tcPr>
          <w:p>
            <w:pPr>
              <w:pStyle w:val="30"/>
              <w:spacing w:before="78" w:line="262" w:lineRule="exact"/>
              <w:ind w:right="6"/>
              <w:jc w:val="center"/>
              <w:rPr>
                <w:rFonts w:hint="eastAsia" w:eastAsia="宋体"/>
                <w:sz w:val="21"/>
                <w:szCs w:val="21"/>
                <w:lang w:eastAsia="zh-CN"/>
              </w:rPr>
            </w:pPr>
            <w:r>
              <w:rPr>
                <w:rFonts w:hint="eastAsia"/>
                <w:w w:val="99"/>
                <w:sz w:val="21"/>
                <w:szCs w:val="21"/>
                <w:lang w:val="en-US" w:eastAsia="zh-CN"/>
              </w:rPr>
              <w:t>4</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78" w:line="262" w:lineRule="exact"/>
              <w:ind w:right="9"/>
              <w:jc w:val="center"/>
              <w:rPr>
                <w:sz w:val="21"/>
                <w:szCs w:val="21"/>
              </w:rPr>
            </w:pPr>
            <w:r>
              <w:rPr>
                <w:rFonts w:hint="eastAsia"/>
                <w:spacing w:val="14"/>
                <w:sz w:val="24"/>
                <w:szCs w:val="24"/>
              </w:rPr>
              <w:t>质量要求</w:t>
            </w:r>
          </w:p>
        </w:tc>
        <w:tc>
          <w:tcPr>
            <w:tcW w:w="8106" w:type="dxa"/>
            <w:tcBorders>
              <w:top w:val="single" w:color="000000" w:sz="6" w:space="0"/>
              <w:left w:val="single" w:color="000000" w:sz="6" w:space="0"/>
              <w:bottom w:val="single" w:color="000000" w:sz="6" w:space="0"/>
            </w:tcBorders>
          </w:tcPr>
          <w:p>
            <w:pPr>
              <w:pStyle w:val="30"/>
              <w:spacing w:before="45"/>
              <w:ind w:left="104"/>
              <w:rPr>
                <w:sz w:val="21"/>
                <w:szCs w:val="21"/>
              </w:rPr>
            </w:pPr>
            <w:r>
              <w:rPr>
                <w:rFonts w:hint="eastAsia"/>
                <w:spacing w:val="14"/>
                <w:sz w:val="24"/>
                <w:szCs w:val="24"/>
              </w:rPr>
              <w:t>满足采购方《</w:t>
            </w:r>
            <w:r>
              <w:rPr>
                <w:rFonts w:hint="eastAsia"/>
                <w:sz w:val="24"/>
                <w:szCs w:val="24"/>
                <w:lang w:val="en-US"/>
              </w:rPr>
              <w:t>河北省草原有害生物普查工作实施方案</w:t>
            </w:r>
            <w:r>
              <w:rPr>
                <w:rFonts w:hint="eastAsia"/>
                <w:spacing w:val="14"/>
                <w:sz w:val="24"/>
                <w:szCs w:val="24"/>
              </w:rPr>
              <w:t>》和</w:t>
            </w:r>
            <w:r>
              <w:rPr>
                <w:rFonts w:hint="eastAsia"/>
                <w:sz w:val="24"/>
                <w:szCs w:val="24"/>
                <w:lang w:val="en-US"/>
              </w:rPr>
              <w:t>《河北省草原有害生物普查技术方案》</w:t>
            </w:r>
            <w:r>
              <w:rPr>
                <w:rFonts w:hint="eastAsia"/>
                <w:spacing w:val="14"/>
                <w:sz w:val="24"/>
                <w:szCs w:val="24"/>
              </w:rPr>
              <w:t>需求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86" w:hRule="atLeast"/>
        </w:trPr>
        <w:tc>
          <w:tcPr>
            <w:tcW w:w="680" w:type="dxa"/>
            <w:tcBorders>
              <w:top w:val="single" w:color="000000" w:sz="6" w:space="0"/>
              <w:bottom w:val="single" w:color="000000" w:sz="6" w:space="0"/>
              <w:right w:val="single" w:color="000000" w:sz="6" w:space="0"/>
            </w:tcBorders>
          </w:tcPr>
          <w:p>
            <w:pPr>
              <w:pStyle w:val="30"/>
              <w:spacing w:before="108"/>
              <w:ind w:right="6"/>
              <w:jc w:val="center"/>
              <w:rPr>
                <w:rFonts w:hint="eastAsia" w:eastAsia="宋体"/>
                <w:sz w:val="21"/>
                <w:szCs w:val="21"/>
                <w:lang w:eastAsia="zh-CN"/>
              </w:rPr>
            </w:pPr>
            <w:r>
              <w:rPr>
                <w:rFonts w:hint="eastAsia"/>
                <w:w w:val="99"/>
                <w:sz w:val="21"/>
                <w:szCs w:val="21"/>
                <w:lang w:val="en-US" w:eastAsia="zh-CN"/>
              </w:rPr>
              <w:t>5</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08"/>
              <w:ind w:right="9"/>
              <w:jc w:val="center"/>
              <w:rPr>
                <w:sz w:val="21"/>
                <w:szCs w:val="21"/>
              </w:rPr>
            </w:pPr>
            <w:r>
              <w:rPr>
                <w:rFonts w:hint="eastAsia"/>
                <w:sz w:val="24"/>
                <w:szCs w:val="24"/>
                <w:lang w:val="en-US" w:bidi="hi-IN"/>
              </w:rPr>
              <w:t>服务周期</w:t>
            </w:r>
          </w:p>
        </w:tc>
        <w:tc>
          <w:tcPr>
            <w:tcW w:w="8106" w:type="dxa"/>
            <w:tcBorders>
              <w:top w:val="single" w:color="000000" w:sz="6" w:space="0"/>
              <w:left w:val="single" w:color="000000" w:sz="6" w:space="0"/>
              <w:bottom w:val="single" w:color="000000" w:sz="6" w:space="0"/>
            </w:tcBorders>
          </w:tcPr>
          <w:p>
            <w:pPr>
              <w:pStyle w:val="30"/>
              <w:spacing w:before="75"/>
              <w:rPr>
                <w:sz w:val="21"/>
                <w:szCs w:val="21"/>
              </w:rPr>
            </w:pPr>
            <w:r>
              <w:rPr>
                <w:rFonts w:hint="eastAsia"/>
                <w:sz w:val="24"/>
                <w:szCs w:val="24"/>
                <w:lang w:val="en-US" w:bidi="hi-IN"/>
              </w:rPr>
              <w:t>自签订合同之日起至</w:t>
            </w:r>
            <w:r>
              <w:rPr>
                <w:rFonts w:hint="eastAsia"/>
                <w:spacing w:val="12"/>
                <w:sz w:val="24"/>
                <w:szCs w:val="24"/>
                <w:lang w:val="en-US"/>
              </w:rPr>
              <w:t>2023年12月31日</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47" w:hRule="atLeast"/>
        </w:trPr>
        <w:tc>
          <w:tcPr>
            <w:tcW w:w="680" w:type="dxa"/>
            <w:tcBorders>
              <w:top w:val="single" w:color="000000" w:sz="6" w:space="0"/>
              <w:bottom w:val="single" w:color="000000" w:sz="6" w:space="0"/>
              <w:right w:val="single" w:color="000000" w:sz="6" w:space="0"/>
            </w:tcBorders>
          </w:tcPr>
          <w:p>
            <w:pPr>
              <w:pStyle w:val="30"/>
              <w:spacing w:before="108"/>
              <w:ind w:right="6"/>
              <w:jc w:val="center"/>
              <w:rPr>
                <w:rFonts w:hint="eastAsia" w:eastAsia="宋体"/>
                <w:w w:val="99"/>
                <w:sz w:val="21"/>
                <w:szCs w:val="21"/>
                <w:lang w:eastAsia="zh-CN"/>
              </w:rPr>
            </w:pPr>
            <w:r>
              <w:rPr>
                <w:rFonts w:hint="eastAsia"/>
                <w:w w:val="99"/>
                <w:sz w:val="21"/>
                <w:szCs w:val="21"/>
                <w:lang w:val="en-US" w:eastAsia="zh-CN"/>
              </w:rPr>
              <w:t>6</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08"/>
              <w:ind w:right="6"/>
              <w:jc w:val="center"/>
              <w:rPr>
                <w:w w:val="99"/>
                <w:sz w:val="21"/>
                <w:szCs w:val="21"/>
              </w:rPr>
            </w:pPr>
            <w:r>
              <w:rPr>
                <w:w w:val="99"/>
                <w:sz w:val="21"/>
                <w:szCs w:val="21"/>
              </w:rPr>
              <w:t>资金来源</w:t>
            </w:r>
          </w:p>
        </w:tc>
        <w:tc>
          <w:tcPr>
            <w:tcW w:w="8106" w:type="dxa"/>
            <w:tcBorders>
              <w:top w:val="single" w:color="000000" w:sz="6" w:space="0"/>
              <w:left w:val="single" w:color="000000" w:sz="6" w:space="0"/>
              <w:bottom w:val="single" w:color="000000" w:sz="6" w:space="0"/>
            </w:tcBorders>
          </w:tcPr>
          <w:p>
            <w:pPr>
              <w:pStyle w:val="30"/>
              <w:spacing w:before="108"/>
              <w:ind w:right="6"/>
              <w:jc w:val="both"/>
              <w:rPr>
                <w:w w:val="99"/>
                <w:sz w:val="21"/>
                <w:szCs w:val="21"/>
              </w:rPr>
            </w:pPr>
            <w:r>
              <w:rPr>
                <w:rFonts w:hint="eastAsia"/>
                <w:w w:val="99"/>
                <w:sz w:val="21"/>
                <w:szCs w:val="21"/>
              </w:rPr>
              <w:t>财政资金</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40" w:hRule="atLeast"/>
        </w:trPr>
        <w:tc>
          <w:tcPr>
            <w:tcW w:w="680" w:type="dxa"/>
            <w:tcBorders>
              <w:top w:val="single" w:color="000000" w:sz="6" w:space="0"/>
              <w:bottom w:val="single" w:color="000000" w:sz="6" w:space="0"/>
              <w:right w:val="single" w:color="000000" w:sz="6" w:space="0"/>
            </w:tcBorders>
          </w:tcPr>
          <w:p>
            <w:pPr>
              <w:pStyle w:val="30"/>
              <w:spacing w:before="11"/>
              <w:rPr>
                <w:b/>
                <w:sz w:val="21"/>
                <w:szCs w:val="21"/>
              </w:rPr>
            </w:pPr>
          </w:p>
          <w:p>
            <w:pPr>
              <w:pStyle w:val="30"/>
              <w:ind w:right="6"/>
              <w:jc w:val="center"/>
              <w:rPr>
                <w:w w:val="99"/>
                <w:sz w:val="21"/>
                <w:szCs w:val="21"/>
              </w:rPr>
            </w:pPr>
          </w:p>
          <w:p>
            <w:pPr>
              <w:pStyle w:val="30"/>
              <w:ind w:right="6"/>
              <w:jc w:val="center"/>
              <w:rPr>
                <w:w w:val="99"/>
                <w:sz w:val="21"/>
                <w:szCs w:val="21"/>
              </w:rPr>
            </w:pPr>
          </w:p>
          <w:p>
            <w:pPr>
              <w:pStyle w:val="30"/>
              <w:ind w:right="6"/>
              <w:jc w:val="center"/>
              <w:rPr>
                <w:w w:val="99"/>
                <w:sz w:val="21"/>
                <w:szCs w:val="21"/>
              </w:rPr>
            </w:pPr>
          </w:p>
          <w:p>
            <w:pPr>
              <w:pStyle w:val="30"/>
              <w:ind w:right="6"/>
              <w:jc w:val="center"/>
              <w:rPr>
                <w:rFonts w:hint="eastAsia" w:eastAsia="宋体"/>
                <w:sz w:val="21"/>
                <w:szCs w:val="21"/>
                <w:lang w:eastAsia="zh-CN"/>
              </w:rPr>
            </w:pPr>
            <w:r>
              <w:rPr>
                <w:rFonts w:hint="eastAsia"/>
                <w:w w:val="99"/>
                <w:sz w:val="21"/>
                <w:szCs w:val="21"/>
                <w:lang w:val="en-US" w:eastAsia="zh-CN"/>
              </w:rPr>
              <w:t>7</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35" w:line="360" w:lineRule="atLeast"/>
              <w:ind w:left="377" w:right="271" w:hanging="113"/>
              <w:rPr>
                <w:sz w:val="21"/>
                <w:szCs w:val="21"/>
              </w:rPr>
            </w:pPr>
          </w:p>
          <w:p>
            <w:pPr>
              <w:pStyle w:val="30"/>
              <w:spacing w:before="35" w:line="360" w:lineRule="atLeast"/>
              <w:ind w:left="377" w:right="271" w:hanging="113"/>
              <w:rPr>
                <w:sz w:val="21"/>
                <w:szCs w:val="21"/>
              </w:rPr>
            </w:pPr>
          </w:p>
          <w:p>
            <w:pPr>
              <w:pStyle w:val="30"/>
              <w:spacing w:before="35" w:line="360" w:lineRule="atLeast"/>
              <w:ind w:left="377" w:right="271" w:hanging="113"/>
              <w:rPr>
                <w:sz w:val="21"/>
                <w:szCs w:val="21"/>
              </w:rPr>
            </w:pPr>
            <w:r>
              <w:rPr>
                <w:sz w:val="21"/>
                <w:szCs w:val="21"/>
              </w:rPr>
              <w:t>资质等级要求</w:t>
            </w:r>
          </w:p>
        </w:tc>
        <w:tc>
          <w:tcPr>
            <w:tcW w:w="8106" w:type="dxa"/>
            <w:tcBorders>
              <w:top w:val="single" w:color="000000" w:sz="6" w:space="0"/>
              <w:left w:val="single" w:color="000000" w:sz="6" w:space="0"/>
              <w:bottom w:val="single" w:color="000000" w:sz="6" w:space="0"/>
            </w:tcBorders>
          </w:tcPr>
          <w:p>
            <w:pPr>
              <w:pStyle w:val="11"/>
            </w:pPr>
            <w:r>
              <w:t>资质条件：</w:t>
            </w:r>
          </w:p>
          <w:p>
            <w:pPr>
              <w:pStyle w:val="11"/>
              <w:spacing w:line="360" w:lineRule="auto"/>
            </w:pPr>
            <w:r>
              <w:rPr>
                <w:rFonts w:hint="eastAsia"/>
                <w:lang w:val="en-US"/>
              </w:rPr>
              <w:t>1.</w:t>
            </w:r>
            <w:r>
              <w:t>投标人必须是在中华人民共和国境内注册的独立法人，具有独立承担民事责任的能力，并在人员、</w:t>
            </w:r>
            <w:r>
              <w:rPr>
                <w:rFonts w:hint="eastAsia"/>
              </w:rPr>
              <w:t>办公条件</w:t>
            </w:r>
            <w:r>
              <w:t>、资金等方面</w:t>
            </w:r>
            <w:r>
              <w:rPr>
                <w:rFonts w:hint="eastAsia"/>
              </w:rPr>
              <w:t>配置完善，</w:t>
            </w:r>
            <w:r>
              <w:t>具有履行合同所必需的设备和专业技术能力。</w:t>
            </w:r>
          </w:p>
          <w:p>
            <w:pPr>
              <w:spacing w:line="460" w:lineRule="exact"/>
              <w:rPr>
                <w:sz w:val="24"/>
              </w:rPr>
            </w:pPr>
            <w:r>
              <w:rPr>
                <w:rFonts w:hint="eastAsia"/>
                <w:sz w:val="24"/>
              </w:rPr>
              <w:t>具备《中华人民共和国政府采购法》第二十二条规定的投标人基本条件：</w:t>
            </w:r>
          </w:p>
          <w:p>
            <w:pPr>
              <w:spacing w:line="460" w:lineRule="exact"/>
              <w:ind w:firstLine="480" w:firstLineChars="200"/>
              <w:rPr>
                <w:sz w:val="24"/>
              </w:rPr>
            </w:pPr>
            <w:r>
              <w:rPr>
                <w:rFonts w:hint="eastAsia"/>
                <w:sz w:val="24"/>
              </w:rPr>
              <w:t xml:space="preserve"> （1）具有独立承担民事责任的能力；</w:t>
            </w:r>
          </w:p>
          <w:p>
            <w:pPr>
              <w:spacing w:line="460" w:lineRule="exact"/>
              <w:ind w:firstLine="480" w:firstLineChars="200"/>
              <w:rPr>
                <w:sz w:val="24"/>
              </w:rPr>
            </w:pPr>
            <w:r>
              <w:rPr>
                <w:rFonts w:hint="eastAsia"/>
                <w:sz w:val="24"/>
              </w:rPr>
              <w:t xml:space="preserve"> （2）具有良好的商业信誉和健全的财务会计制度；</w:t>
            </w:r>
          </w:p>
          <w:p>
            <w:pPr>
              <w:spacing w:line="460" w:lineRule="exact"/>
              <w:ind w:firstLine="480" w:firstLineChars="200"/>
              <w:rPr>
                <w:sz w:val="24"/>
              </w:rPr>
            </w:pPr>
            <w:r>
              <w:rPr>
                <w:rFonts w:hint="eastAsia"/>
                <w:sz w:val="24"/>
              </w:rPr>
              <w:t xml:space="preserve"> （3）具有履行合同所必需的设备和专业技术能力；</w:t>
            </w:r>
          </w:p>
          <w:p>
            <w:pPr>
              <w:spacing w:line="460" w:lineRule="exact"/>
              <w:ind w:firstLine="480" w:firstLineChars="200"/>
              <w:rPr>
                <w:sz w:val="24"/>
              </w:rPr>
            </w:pPr>
            <w:r>
              <w:rPr>
                <w:rFonts w:hint="eastAsia"/>
                <w:sz w:val="24"/>
              </w:rPr>
              <w:t xml:space="preserve"> （4）有依法缴纳税收和社会保障资金的良好记录及社会良好的信誉；</w:t>
            </w:r>
          </w:p>
          <w:p>
            <w:pPr>
              <w:spacing w:line="460" w:lineRule="exact"/>
              <w:ind w:firstLine="480" w:firstLineChars="200"/>
              <w:rPr>
                <w:sz w:val="24"/>
              </w:rPr>
            </w:pPr>
            <w:r>
              <w:rPr>
                <w:rFonts w:hint="eastAsia"/>
                <w:sz w:val="24"/>
              </w:rPr>
              <w:t xml:space="preserve"> （5）参加政府招标活动前三年内，在经营活动中没有重大违法记录；</w:t>
            </w:r>
          </w:p>
          <w:p>
            <w:pPr>
              <w:spacing w:line="460" w:lineRule="exact"/>
              <w:ind w:firstLine="480" w:firstLineChars="200"/>
              <w:rPr>
                <w:sz w:val="24"/>
              </w:rPr>
            </w:pPr>
            <w:r>
              <w:rPr>
                <w:rFonts w:hint="eastAsia"/>
                <w:sz w:val="24"/>
              </w:rPr>
              <w:t xml:space="preserve"> （6）法律、行政法规规定的其他条件；</w:t>
            </w:r>
          </w:p>
          <w:p>
            <w:pPr>
              <w:pStyle w:val="11"/>
              <w:spacing w:line="360" w:lineRule="auto"/>
            </w:pPr>
            <w:r>
              <w:rPr>
                <w:rFonts w:hint="eastAsia"/>
                <w:lang w:val="en-US" w:eastAsia="zh-CN"/>
              </w:rPr>
              <w:t>2</w:t>
            </w:r>
            <w:r>
              <w:rPr>
                <w:rFonts w:hint="eastAsia"/>
                <w:lang w:val="en-US"/>
              </w:rPr>
              <w:t>.</w:t>
            </w:r>
            <w:r>
              <w:t>与招标人存在利害关系可能影响招标公正性的投标人，不得投标。提供与招标人无利害关系承诺书。</w:t>
            </w:r>
          </w:p>
          <w:p>
            <w:pPr>
              <w:pStyle w:val="11"/>
              <w:spacing w:line="360" w:lineRule="auto"/>
            </w:pPr>
            <w:r>
              <w:rPr>
                <w:rFonts w:hint="eastAsia"/>
                <w:lang w:val="en-US" w:eastAsia="zh-CN"/>
              </w:rPr>
              <w:t>3</w:t>
            </w:r>
            <w:r>
              <w:rPr>
                <w:rFonts w:hint="eastAsia"/>
                <w:lang w:val="en-US"/>
              </w:rPr>
              <w:t>.列入“信用中国”网站(www.creditchina.gov.cn)信用记录失信被执行人、重大税收违法案件当事人名单、政府采购严重违法失信行为记录名单的投标人将被拒绝投标</w:t>
            </w:r>
            <w:r>
              <w:t>。</w:t>
            </w:r>
          </w:p>
          <w:p>
            <w:pPr>
              <w:pStyle w:val="11"/>
              <w:rPr>
                <w:kern w:val="2"/>
                <w:lang w:val="en-US" w:bidi="ar-SA"/>
              </w:rPr>
            </w:pPr>
            <w:r>
              <w:rPr>
                <w:rFonts w:hint="eastAsia"/>
                <w:kern w:val="2"/>
                <w:lang w:val="en-US" w:eastAsia="zh-CN" w:bidi="ar-SA"/>
              </w:rPr>
              <w:t>3</w:t>
            </w:r>
            <w:r>
              <w:rPr>
                <w:rFonts w:hint="eastAsia"/>
                <w:kern w:val="2"/>
                <w:lang w:val="en-US" w:bidi="ar-SA"/>
              </w:rPr>
              <w:t>.投标人须提供参加本次政府采购活动前三年内，在经营活动中没有重大违法违规记录的声明（截至开标日成立不足3年的投标人可提供自成立以来无重大违法记录的书面声明）；</w:t>
            </w:r>
          </w:p>
          <w:p>
            <w:pPr>
              <w:pStyle w:val="11"/>
              <w:spacing w:line="360" w:lineRule="auto"/>
            </w:pPr>
            <w:r>
              <w:rPr>
                <w:rFonts w:hint="eastAsia"/>
                <w:lang w:val="en-US" w:eastAsia="zh-CN"/>
              </w:rPr>
              <w:t>5</w:t>
            </w:r>
            <w:r>
              <w:rPr>
                <w:rFonts w:hint="eastAsia"/>
                <w:lang w:val="en-US"/>
              </w:rPr>
              <w:t>.</w:t>
            </w:r>
            <w:r>
              <w:t>本项目不接受联合体投标。</w:t>
            </w:r>
          </w:p>
          <w:p>
            <w:pPr>
              <w:pStyle w:val="11"/>
              <w:rPr>
                <w:b/>
                <w:bCs/>
                <w:lang w:val="en-US"/>
              </w:rPr>
            </w:pPr>
            <w:r>
              <w:rPr>
                <w:rFonts w:hint="eastAsia"/>
                <w:b/>
                <w:bCs/>
                <w:lang w:val="en-US"/>
              </w:rPr>
              <w:t>携带以下</w:t>
            </w:r>
            <w:r>
              <w:rPr>
                <w:rFonts w:hint="eastAsia"/>
                <w:b/>
                <w:bCs/>
                <w:color w:val="auto"/>
                <w:highlight w:val="none"/>
                <w:lang w:val="en-US"/>
              </w:rPr>
              <w:t>资料原件及加</w:t>
            </w:r>
            <w:r>
              <w:rPr>
                <w:rFonts w:hint="eastAsia"/>
                <w:b/>
                <w:bCs/>
                <w:lang w:val="en-US"/>
              </w:rPr>
              <w:t>盖公章的复印件一套（须整理成册）到邢台华铭工程项目管理有限公司进行现场报名：</w:t>
            </w:r>
          </w:p>
          <w:p>
            <w:pPr>
              <w:rPr>
                <w:b/>
                <w:bCs/>
                <w:lang w:val="en-US"/>
              </w:rPr>
            </w:pPr>
            <w:r>
              <w:rPr>
                <w:rFonts w:hint="eastAsia"/>
                <w:b/>
                <w:bCs/>
                <w:lang w:val="en-US"/>
              </w:rPr>
              <w:t>营业执照、税务登记证、组织机构代码证或三证合一的营业执照、</w:t>
            </w:r>
            <w:r>
              <w:rPr>
                <w:rFonts w:ascii="Times New Roman"/>
                <w:b/>
                <w:bCs/>
                <w:color w:val="auto"/>
                <w:w w:val="99"/>
                <w:sz w:val="24"/>
                <w:szCs w:val="24"/>
                <w:highlight w:val="none"/>
              </w:rPr>
              <w:t>企业基本账户的开户</w:t>
            </w:r>
            <w:r>
              <w:rPr>
                <w:rFonts w:hint="eastAsia" w:ascii="Times New Roman"/>
                <w:b/>
                <w:bCs/>
                <w:color w:val="auto"/>
                <w:w w:val="99"/>
                <w:sz w:val="24"/>
                <w:szCs w:val="24"/>
                <w:highlight w:val="none"/>
                <w:lang w:eastAsia="zh-CN"/>
              </w:rPr>
              <w:t>信息</w:t>
            </w:r>
            <w:r>
              <w:rPr>
                <w:rFonts w:hint="eastAsia"/>
                <w:b/>
                <w:bCs/>
                <w:lang w:val="en-US"/>
              </w:rPr>
              <w:t>、信用中国查询结果、三年内经营活动中没有重大违法违规记录的声明、法定代表人身份证明书及身份证原件或法定代表人授权委托书及被授权人身份证原件。</w:t>
            </w:r>
          </w:p>
          <w:p>
            <w:pPr>
              <w:pStyle w:val="2"/>
              <w:ind w:left="0" w:leftChars="0" w:firstLine="0" w:firstLineChars="0"/>
            </w:pPr>
            <w:r>
              <w:rPr>
                <w:rFonts w:hint="eastAsia"/>
                <w:b/>
                <w:bCs/>
                <w:sz w:val="24"/>
                <w:szCs w:val="24"/>
              </w:rPr>
              <w:t>报名时间：202</w:t>
            </w:r>
            <w:r>
              <w:rPr>
                <w:rFonts w:hint="eastAsia"/>
                <w:b/>
                <w:bCs/>
                <w:sz w:val="24"/>
                <w:szCs w:val="24"/>
                <w:lang w:val="en-US"/>
              </w:rPr>
              <w:t>1</w:t>
            </w:r>
            <w:r>
              <w:rPr>
                <w:rFonts w:hint="eastAsia"/>
                <w:b/>
                <w:bCs/>
                <w:sz w:val="24"/>
                <w:szCs w:val="24"/>
              </w:rPr>
              <w:t>年</w:t>
            </w:r>
            <w:r>
              <w:rPr>
                <w:rFonts w:hint="eastAsia"/>
                <w:b/>
                <w:bCs/>
                <w:sz w:val="24"/>
                <w:szCs w:val="24"/>
                <w:lang w:val="en-US" w:eastAsia="zh-CN"/>
              </w:rPr>
              <w:t>10</w:t>
            </w:r>
            <w:r>
              <w:rPr>
                <w:rFonts w:hint="eastAsia"/>
                <w:b/>
                <w:bCs/>
                <w:sz w:val="24"/>
                <w:szCs w:val="24"/>
              </w:rPr>
              <w:t>月</w:t>
            </w:r>
            <w:r>
              <w:rPr>
                <w:rFonts w:hint="eastAsia"/>
                <w:b/>
                <w:bCs/>
                <w:sz w:val="24"/>
                <w:szCs w:val="24"/>
                <w:lang w:val="en-US" w:eastAsia="zh-CN"/>
              </w:rPr>
              <w:t>13</w:t>
            </w:r>
            <w:r>
              <w:rPr>
                <w:rFonts w:hint="eastAsia"/>
                <w:b/>
                <w:bCs/>
                <w:sz w:val="24"/>
                <w:szCs w:val="24"/>
              </w:rPr>
              <w:t>日至202</w:t>
            </w:r>
            <w:r>
              <w:rPr>
                <w:rFonts w:hint="eastAsia"/>
                <w:b/>
                <w:bCs/>
                <w:sz w:val="24"/>
                <w:szCs w:val="24"/>
                <w:lang w:val="en-US"/>
              </w:rPr>
              <w:t>1</w:t>
            </w:r>
            <w:r>
              <w:rPr>
                <w:rFonts w:hint="eastAsia"/>
                <w:b/>
                <w:bCs/>
                <w:sz w:val="24"/>
                <w:szCs w:val="24"/>
              </w:rPr>
              <w:t>年</w:t>
            </w:r>
            <w:r>
              <w:rPr>
                <w:rFonts w:hint="eastAsia"/>
                <w:b/>
                <w:bCs/>
                <w:sz w:val="24"/>
                <w:szCs w:val="24"/>
                <w:lang w:val="en-US" w:eastAsia="zh-CN"/>
              </w:rPr>
              <w:t>10</w:t>
            </w:r>
            <w:r>
              <w:rPr>
                <w:rFonts w:hint="eastAsia"/>
                <w:b/>
                <w:bCs/>
                <w:sz w:val="24"/>
                <w:szCs w:val="24"/>
              </w:rPr>
              <w:t>月</w:t>
            </w:r>
            <w:r>
              <w:rPr>
                <w:rFonts w:hint="eastAsia"/>
                <w:b/>
                <w:bCs/>
                <w:sz w:val="24"/>
                <w:szCs w:val="24"/>
                <w:lang w:val="en-US" w:eastAsia="zh-CN"/>
              </w:rPr>
              <w:t>19</w:t>
            </w:r>
            <w:r>
              <w:rPr>
                <w:rFonts w:hint="eastAsia"/>
                <w:b/>
                <w:bCs/>
                <w:sz w:val="24"/>
                <w:szCs w:val="24"/>
              </w:rPr>
              <w:t>日（每天上午</w:t>
            </w:r>
            <w:r>
              <w:rPr>
                <w:rFonts w:hint="eastAsia"/>
                <w:b/>
                <w:bCs/>
                <w:sz w:val="24"/>
                <w:szCs w:val="24"/>
                <w:lang w:val="en-US"/>
              </w:rPr>
              <w:t>8:30-12:00，下午14:00-17:30</w:t>
            </w:r>
            <w:r>
              <w:rPr>
                <w:rFonts w:hint="eastAsia"/>
                <w:b/>
                <w:bCs/>
                <w:sz w:val="24"/>
                <w:szCs w:val="24"/>
              </w:rPr>
              <w:t>）（节假日除外）</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1" w:hRule="atLeast"/>
        </w:trPr>
        <w:tc>
          <w:tcPr>
            <w:tcW w:w="680" w:type="dxa"/>
            <w:tcBorders>
              <w:top w:val="single" w:color="000000" w:sz="6" w:space="0"/>
              <w:bottom w:val="single" w:color="000000" w:sz="6" w:space="0"/>
              <w:right w:val="single" w:color="000000" w:sz="6" w:space="0"/>
            </w:tcBorders>
          </w:tcPr>
          <w:p>
            <w:pPr>
              <w:pStyle w:val="30"/>
              <w:spacing w:before="113"/>
              <w:ind w:left="205" w:right="214"/>
              <w:jc w:val="center"/>
              <w:rPr>
                <w:sz w:val="21"/>
                <w:szCs w:val="21"/>
              </w:rPr>
            </w:pPr>
            <w:r>
              <w:rPr>
                <w:sz w:val="21"/>
                <w:szCs w:val="21"/>
              </w:rPr>
              <w:t>10</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79"/>
              <w:ind w:right="6"/>
              <w:jc w:val="center"/>
              <w:rPr>
                <w:sz w:val="21"/>
                <w:szCs w:val="21"/>
              </w:rPr>
            </w:pPr>
            <w:r>
              <w:rPr>
                <w:sz w:val="21"/>
                <w:szCs w:val="21"/>
              </w:rPr>
              <w:t>资格审查方式</w:t>
            </w:r>
          </w:p>
        </w:tc>
        <w:tc>
          <w:tcPr>
            <w:tcW w:w="8106" w:type="dxa"/>
            <w:tcBorders>
              <w:top w:val="single" w:color="000000" w:sz="6" w:space="0"/>
              <w:left w:val="single" w:color="000000" w:sz="6" w:space="0"/>
              <w:bottom w:val="single" w:color="000000" w:sz="6" w:space="0"/>
            </w:tcBorders>
          </w:tcPr>
          <w:p>
            <w:pPr>
              <w:pStyle w:val="30"/>
              <w:spacing w:before="113"/>
              <w:ind w:left="104"/>
              <w:rPr>
                <w:sz w:val="21"/>
                <w:szCs w:val="21"/>
              </w:rPr>
            </w:pPr>
            <w:r>
              <w:rPr>
                <w:sz w:val="21"/>
                <w:szCs w:val="21"/>
              </w:rPr>
              <w:t>资格后审</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70" w:hRule="atLeast"/>
        </w:trPr>
        <w:tc>
          <w:tcPr>
            <w:tcW w:w="680" w:type="dxa"/>
            <w:tcBorders>
              <w:top w:val="single" w:color="000000" w:sz="6" w:space="0"/>
              <w:bottom w:val="single" w:color="000000" w:sz="6" w:space="0"/>
              <w:right w:val="single" w:color="000000" w:sz="6" w:space="0"/>
            </w:tcBorders>
          </w:tcPr>
          <w:p>
            <w:pPr>
              <w:pStyle w:val="30"/>
              <w:spacing w:before="91"/>
              <w:ind w:left="205" w:right="214"/>
              <w:jc w:val="center"/>
              <w:rPr>
                <w:sz w:val="21"/>
                <w:szCs w:val="21"/>
              </w:rPr>
            </w:pPr>
            <w:r>
              <w:rPr>
                <w:sz w:val="21"/>
                <w:szCs w:val="21"/>
              </w:rPr>
              <w:t>11</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57"/>
              <w:ind w:right="6"/>
              <w:jc w:val="center"/>
              <w:rPr>
                <w:sz w:val="21"/>
                <w:szCs w:val="21"/>
              </w:rPr>
            </w:pPr>
            <w:r>
              <w:rPr>
                <w:sz w:val="21"/>
                <w:szCs w:val="21"/>
              </w:rPr>
              <w:t>报价方式</w:t>
            </w:r>
          </w:p>
        </w:tc>
        <w:tc>
          <w:tcPr>
            <w:tcW w:w="8106" w:type="dxa"/>
            <w:tcBorders>
              <w:top w:val="single" w:color="000000" w:sz="6" w:space="0"/>
              <w:left w:val="single" w:color="000000" w:sz="6" w:space="0"/>
              <w:bottom w:val="single" w:color="000000" w:sz="6" w:space="0"/>
            </w:tcBorders>
          </w:tcPr>
          <w:p>
            <w:pPr>
              <w:pStyle w:val="30"/>
              <w:spacing w:before="91"/>
              <w:ind w:left="104"/>
              <w:rPr>
                <w:sz w:val="21"/>
                <w:szCs w:val="21"/>
              </w:rPr>
            </w:pPr>
            <w:r>
              <w:rPr>
                <w:sz w:val="21"/>
                <w:szCs w:val="21"/>
              </w:rPr>
              <w:t>本</w:t>
            </w:r>
            <w:r>
              <w:rPr>
                <w:rFonts w:hint="eastAsia"/>
                <w:sz w:val="21"/>
                <w:szCs w:val="21"/>
              </w:rPr>
              <w:t>项目</w:t>
            </w:r>
            <w:r>
              <w:rPr>
                <w:sz w:val="21"/>
                <w:szCs w:val="21"/>
              </w:rPr>
              <w:t>采用</w:t>
            </w:r>
            <w:r>
              <w:rPr>
                <w:rFonts w:hint="eastAsia"/>
                <w:sz w:val="21"/>
                <w:szCs w:val="21"/>
              </w:rPr>
              <w:t>报价</w:t>
            </w:r>
            <w:r>
              <w:rPr>
                <w:sz w:val="21"/>
                <w:szCs w:val="21"/>
              </w:rPr>
              <w:t>清单单价报价方式</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0" w:hRule="atLeast"/>
        </w:trPr>
        <w:tc>
          <w:tcPr>
            <w:tcW w:w="680" w:type="dxa"/>
            <w:tcBorders>
              <w:top w:val="single" w:color="000000" w:sz="6" w:space="0"/>
              <w:bottom w:val="single" w:color="000000" w:sz="6" w:space="0"/>
              <w:right w:val="single" w:color="000000" w:sz="6" w:space="0"/>
            </w:tcBorders>
          </w:tcPr>
          <w:p>
            <w:pPr>
              <w:pStyle w:val="30"/>
              <w:spacing w:before="112"/>
              <w:ind w:left="205" w:right="214"/>
              <w:jc w:val="center"/>
              <w:rPr>
                <w:sz w:val="21"/>
                <w:szCs w:val="21"/>
              </w:rPr>
            </w:pPr>
            <w:r>
              <w:rPr>
                <w:sz w:val="21"/>
                <w:szCs w:val="21"/>
              </w:rPr>
              <w:t>12</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12"/>
              <w:ind w:right="6"/>
              <w:jc w:val="center"/>
              <w:rPr>
                <w:sz w:val="21"/>
                <w:szCs w:val="21"/>
              </w:rPr>
            </w:pPr>
            <w:r>
              <w:rPr>
                <w:sz w:val="21"/>
                <w:szCs w:val="21"/>
              </w:rPr>
              <w:t>投标有效期</w:t>
            </w:r>
          </w:p>
        </w:tc>
        <w:tc>
          <w:tcPr>
            <w:tcW w:w="8106" w:type="dxa"/>
            <w:tcBorders>
              <w:top w:val="single" w:color="000000" w:sz="6" w:space="0"/>
              <w:left w:val="single" w:color="000000" w:sz="6" w:space="0"/>
              <w:bottom w:val="single" w:color="000000" w:sz="6" w:space="0"/>
            </w:tcBorders>
          </w:tcPr>
          <w:p>
            <w:pPr>
              <w:pStyle w:val="30"/>
              <w:spacing w:before="112"/>
              <w:ind w:left="104"/>
              <w:rPr>
                <w:sz w:val="21"/>
                <w:szCs w:val="21"/>
              </w:rPr>
            </w:pPr>
            <w:r>
              <w:rPr>
                <w:sz w:val="21"/>
                <w:szCs w:val="21"/>
              </w:rPr>
              <w:t>为 60 日历天（从投标截止之日算起）</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5" w:hRule="atLeast"/>
        </w:trPr>
        <w:tc>
          <w:tcPr>
            <w:tcW w:w="680" w:type="dxa"/>
            <w:tcBorders>
              <w:top w:val="single" w:color="000000" w:sz="6" w:space="0"/>
              <w:bottom w:val="single" w:color="000000" w:sz="6" w:space="0"/>
              <w:right w:val="single" w:color="000000" w:sz="6" w:space="0"/>
            </w:tcBorders>
          </w:tcPr>
          <w:p>
            <w:pPr>
              <w:pStyle w:val="30"/>
              <w:spacing w:before="160"/>
              <w:ind w:left="205" w:right="214"/>
              <w:jc w:val="center"/>
              <w:rPr>
                <w:sz w:val="21"/>
                <w:szCs w:val="21"/>
              </w:rPr>
            </w:pPr>
            <w:r>
              <w:rPr>
                <w:sz w:val="21"/>
                <w:szCs w:val="21"/>
              </w:rPr>
              <w:t>14</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160"/>
              <w:ind w:right="9"/>
              <w:jc w:val="center"/>
              <w:rPr>
                <w:sz w:val="21"/>
                <w:szCs w:val="21"/>
              </w:rPr>
            </w:pPr>
            <w:r>
              <w:rPr>
                <w:sz w:val="21"/>
                <w:szCs w:val="21"/>
              </w:rPr>
              <w:t>踏勘现场</w:t>
            </w:r>
          </w:p>
        </w:tc>
        <w:tc>
          <w:tcPr>
            <w:tcW w:w="8106" w:type="dxa"/>
            <w:tcBorders>
              <w:top w:val="single" w:color="000000" w:sz="6" w:space="0"/>
              <w:left w:val="single" w:color="000000" w:sz="6" w:space="0"/>
              <w:bottom w:val="single" w:color="000000" w:sz="6" w:space="0"/>
            </w:tcBorders>
          </w:tcPr>
          <w:p>
            <w:pPr>
              <w:pStyle w:val="30"/>
              <w:spacing w:before="160"/>
              <w:ind w:left="104"/>
              <w:rPr>
                <w:sz w:val="21"/>
                <w:szCs w:val="21"/>
              </w:rPr>
            </w:pPr>
            <w:r>
              <w:rPr>
                <w:sz w:val="21"/>
                <w:szCs w:val="21"/>
              </w:rPr>
              <w:t>不组织，投标人自行踏勘。</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8" w:hRule="atLeast"/>
        </w:trPr>
        <w:tc>
          <w:tcPr>
            <w:tcW w:w="680" w:type="dxa"/>
            <w:tcBorders>
              <w:top w:val="single" w:color="000000" w:sz="6" w:space="0"/>
              <w:bottom w:val="single" w:color="000000" w:sz="6" w:space="0"/>
              <w:right w:val="single" w:color="000000" w:sz="6" w:space="0"/>
            </w:tcBorders>
          </w:tcPr>
          <w:p>
            <w:pPr>
              <w:pStyle w:val="30"/>
              <w:spacing w:before="8"/>
              <w:rPr>
                <w:b/>
                <w:sz w:val="21"/>
                <w:szCs w:val="21"/>
              </w:rPr>
            </w:pPr>
          </w:p>
          <w:p>
            <w:pPr>
              <w:pStyle w:val="30"/>
              <w:ind w:left="205" w:right="214"/>
              <w:jc w:val="center"/>
              <w:rPr>
                <w:sz w:val="21"/>
                <w:szCs w:val="21"/>
              </w:rPr>
            </w:pPr>
            <w:r>
              <w:rPr>
                <w:sz w:val="21"/>
                <w:szCs w:val="21"/>
              </w:rPr>
              <w:t>15</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20"/>
              <w:ind w:right="6"/>
              <w:jc w:val="center"/>
              <w:rPr>
                <w:sz w:val="21"/>
                <w:szCs w:val="21"/>
              </w:rPr>
            </w:pPr>
            <w:r>
              <w:rPr>
                <w:sz w:val="21"/>
                <w:szCs w:val="21"/>
              </w:rPr>
              <w:t>投标最高限价</w:t>
            </w:r>
          </w:p>
          <w:p>
            <w:pPr>
              <w:pStyle w:val="30"/>
              <w:spacing w:before="2"/>
              <w:ind w:right="6"/>
              <w:jc w:val="center"/>
              <w:rPr>
                <w:sz w:val="21"/>
                <w:szCs w:val="21"/>
              </w:rPr>
            </w:pPr>
            <w:r>
              <w:rPr>
                <w:sz w:val="21"/>
                <w:szCs w:val="21"/>
              </w:rPr>
              <w:t>（拦标价）</w:t>
            </w:r>
          </w:p>
        </w:tc>
        <w:tc>
          <w:tcPr>
            <w:tcW w:w="8106" w:type="dxa"/>
            <w:tcBorders>
              <w:top w:val="single" w:color="000000" w:sz="6" w:space="0"/>
              <w:left w:val="single" w:color="000000" w:sz="6" w:space="0"/>
              <w:bottom w:val="single" w:color="000000" w:sz="6" w:space="0"/>
            </w:tcBorders>
          </w:tcPr>
          <w:p>
            <w:pPr>
              <w:pStyle w:val="30"/>
              <w:spacing w:before="19" w:line="270" w:lineRule="atLeast"/>
              <w:ind w:left="104" w:right="1768"/>
              <w:rPr>
                <w:sz w:val="21"/>
                <w:szCs w:val="21"/>
              </w:rPr>
            </w:pPr>
            <w:r>
              <w:rPr>
                <w:sz w:val="21"/>
                <w:szCs w:val="21"/>
              </w:rPr>
              <w:t>本</w:t>
            </w:r>
            <w:r>
              <w:rPr>
                <w:rFonts w:hint="eastAsia"/>
                <w:sz w:val="21"/>
                <w:szCs w:val="21"/>
              </w:rPr>
              <w:t>项目</w:t>
            </w:r>
            <w:r>
              <w:rPr>
                <w:sz w:val="21"/>
                <w:szCs w:val="21"/>
              </w:rPr>
              <w:t>的投标最高限价（拦标价）</w:t>
            </w:r>
            <w:r>
              <w:rPr>
                <w:spacing w:val="-28"/>
                <w:sz w:val="21"/>
                <w:szCs w:val="21"/>
              </w:rPr>
              <w:t xml:space="preserve">是 </w:t>
            </w:r>
            <w:r>
              <w:rPr>
                <w:rFonts w:hint="eastAsia"/>
                <w:b/>
                <w:sz w:val="21"/>
                <w:szCs w:val="21"/>
                <w:u w:val="single"/>
                <w:lang w:val="en-US"/>
              </w:rPr>
              <w:t>17.2</w:t>
            </w:r>
            <w:r>
              <w:rPr>
                <w:rFonts w:hint="eastAsia"/>
                <w:b/>
                <w:spacing w:val="-30"/>
                <w:sz w:val="21"/>
                <w:szCs w:val="21"/>
                <w:u w:val="single"/>
              </w:rPr>
              <w:t>万</w:t>
            </w:r>
            <w:r>
              <w:rPr>
                <w:b/>
                <w:sz w:val="21"/>
                <w:szCs w:val="21"/>
              </w:rPr>
              <w:t>元</w:t>
            </w:r>
            <w:r>
              <w:rPr>
                <w:sz w:val="21"/>
                <w:szCs w:val="21"/>
              </w:rPr>
              <w:t>。</w:t>
            </w:r>
          </w:p>
          <w:p>
            <w:pPr>
              <w:pStyle w:val="30"/>
              <w:spacing w:before="19" w:line="270" w:lineRule="atLeast"/>
              <w:ind w:left="104" w:right="2188"/>
              <w:rPr>
                <w:sz w:val="21"/>
                <w:szCs w:val="21"/>
              </w:rPr>
            </w:pPr>
            <w:r>
              <w:rPr>
                <w:sz w:val="21"/>
                <w:szCs w:val="21"/>
              </w:rPr>
              <w:t>人民币（大写）</w:t>
            </w:r>
            <w:r>
              <w:rPr>
                <w:rFonts w:hint="eastAsia"/>
                <w:b/>
                <w:sz w:val="21"/>
                <w:szCs w:val="21"/>
                <w:u w:val="single"/>
                <w:lang w:val="en-US"/>
              </w:rPr>
              <w:t>拾柒万贰仟元整</w:t>
            </w:r>
            <w:r>
              <w:rPr>
                <w:sz w:val="21"/>
                <w:szCs w:val="21"/>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3" w:hRule="atLeast"/>
        </w:trPr>
        <w:tc>
          <w:tcPr>
            <w:tcW w:w="680" w:type="dxa"/>
            <w:tcBorders>
              <w:top w:val="single" w:color="000000" w:sz="6" w:space="0"/>
              <w:bottom w:val="single" w:color="000000" w:sz="6" w:space="0"/>
              <w:right w:val="single" w:color="000000" w:sz="6" w:space="0"/>
            </w:tcBorders>
          </w:tcPr>
          <w:p>
            <w:pPr>
              <w:pStyle w:val="30"/>
              <w:spacing w:before="8"/>
              <w:jc w:val="center"/>
              <w:rPr>
                <w:b/>
                <w:sz w:val="21"/>
                <w:szCs w:val="21"/>
                <w:lang w:val="en-US"/>
              </w:rPr>
            </w:pPr>
            <w:r>
              <w:rPr>
                <w:rFonts w:hint="eastAsia"/>
                <w:sz w:val="21"/>
                <w:szCs w:val="21"/>
                <w:lang w:val="en-US"/>
              </w:rPr>
              <w:t>16</w:t>
            </w:r>
          </w:p>
        </w:tc>
        <w:tc>
          <w:tcPr>
            <w:tcW w:w="1011" w:type="dxa"/>
            <w:tcBorders>
              <w:top w:val="single" w:color="000000" w:sz="6" w:space="0"/>
              <w:left w:val="single" w:color="000000" w:sz="6" w:space="0"/>
              <w:bottom w:val="single" w:color="000000" w:sz="6" w:space="0"/>
              <w:right w:val="single" w:color="000000" w:sz="6" w:space="0"/>
            </w:tcBorders>
          </w:tcPr>
          <w:p>
            <w:pPr>
              <w:pStyle w:val="30"/>
              <w:spacing w:before="8"/>
              <w:jc w:val="center"/>
              <w:rPr>
                <w:b/>
                <w:sz w:val="21"/>
                <w:szCs w:val="21"/>
              </w:rPr>
            </w:pPr>
            <w:r>
              <w:rPr>
                <w:b/>
                <w:sz w:val="21"/>
                <w:szCs w:val="21"/>
              </w:rPr>
              <w:t>招标文件的获取</w:t>
            </w:r>
          </w:p>
        </w:tc>
        <w:tc>
          <w:tcPr>
            <w:tcW w:w="8106" w:type="dxa"/>
            <w:tcBorders>
              <w:top w:val="single" w:color="000000" w:sz="6" w:space="0"/>
              <w:left w:val="single" w:color="000000" w:sz="6" w:space="0"/>
              <w:bottom w:val="single" w:color="000000" w:sz="6" w:space="0"/>
            </w:tcBorders>
          </w:tcPr>
          <w:p>
            <w:pPr>
              <w:pStyle w:val="30"/>
              <w:spacing w:before="8"/>
              <w:rPr>
                <w:b/>
                <w:sz w:val="21"/>
                <w:szCs w:val="21"/>
              </w:rPr>
            </w:pPr>
            <w:r>
              <w:rPr>
                <w:rFonts w:hint="eastAsia"/>
                <w:b/>
                <w:sz w:val="21"/>
                <w:szCs w:val="21"/>
              </w:rPr>
              <w:t>邢台市林业局网站</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26" w:hRule="atLeast"/>
        </w:trPr>
        <w:tc>
          <w:tcPr>
            <w:tcW w:w="680" w:type="dxa"/>
            <w:tcBorders>
              <w:top w:val="single" w:color="000000" w:sz="6" w:space="0"/>
              <w:bottom w:val="single" w:color="000000" w:sz="6" w:space="0"/>
              <w:right w:val="single" w:color="000000" w:sz="6" w:space="0"/>
            </w:tcBorders>
            <w:vAlign w:val="center"/>
          </w:tcPr>
          <w:p>
            <w:pPr>
              <w:pStyle w:val="30"/>
              <w:spacing w:before="8"/>
              <w:jc w:val="center"/>
              <w:rPr>
                <w:b/>
                <w:sz w:val="21"/>
                <w:szCs w:val="21"/>
              </w:rPr>
            </w:pPr>
            <w:r>
              <w:rPr>
                <w:bCs/>
                <w:sz w:val="21"/>
                <w:szCs w:val="21"/>
              </w:rPr>
              <w:t>18</w:t>
            </w:r>
          </w:p>
        </w:tc>
        <w:tc>
          <w:tcPr>
            <w:tcW w:w="1011" w:type="dxa"/>
            <w:tcBorders>
              <w:top w:val="single" w:color="000000" w:sz="6" w:space="0"/>
              <w:left w:val="single" w:color="000000" w:sz="6" w:space="0"/>
              <w:bottom w:val="single" w:color="000000" w:sz="6" w:space="0"/>
              <w:right w:val="single" w:color="000000" w:sz="6" w:space="0"/>
            </w:tcBorders>
            <w:vAlign w:val="center"/>
          </w:tcPr>
          <w:p>
            <w:pPr>
              <w:pStyle w:val="30"/>
              <w:spacing w:before="8"/>
              <w:jc w:val="center"/>
              <w:rPr>
                <w:b/>
                <w:sz w:val="21"/>
                <w:szCs w:val="21"/>
                <w:lang w:val="en-US"/>
              </w:rPr>
            </w:pPr>
            <w:r>
              <w:rPr>
                <w:rFonts w:hint="eastAsia"/>
                <w:b/>
                <w:sz w:val="21"/>
                <w:szCs w:val="21"/>
                <w:lang w:val="en-US"/>
              </w:rPr>
              <w:t>特别说明</w:t>
            </w:r>
          </w:p>
        </w:tc>
        <w:tc>
          <w:tcPr>
            <w:tcW w:w="8106" w:type="dxa"/>
            <w:tcBorders>
              <w:top w:val="single" w:color="000000" w:sz="6" w:space="0"/>
              <w:left w:val="single" w:color="000000" w:sz="6" w:space="0"/>
              <w:bottom w:val="single" w:color="000000" w:sz="6" w:space="0"/>
            </w:tcBorders>
          </w:tcPr>
          <w:p>
            <w:pPr>
              <w:pStyle w:val="30"/>
              <w:spacing w:before="8"/>
              <w:rPr>
                <w:b/>
                <w:sz w:val="21"/>
                <w:szCs w:val="21"/>
              </w:rPr>
            </w:pPr>
            <w:r>
              <w:rPr>
                <w:rFonts w:hint="eastAsia"/>
                <w:b/>
                <w:sz w:val="21"/>
                <w:szCs w:val="21"/>
              </w:rPr>
              <w:t>开标时法人代表参加的，需提供法定代表人身份证明书及身份证复印件及原件；委托代理人参加的，需提供授权委托书原件、法定代表人身份证复印件、委托代理人身份证复印件及原件。</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35" w:hRule="atLeast"/>
        </w:trPr>
        <w:tc>
          <w:tcPr>
            <w:tcW w:w="680" w:type="dxa"/>
            <w:tcBorders>
              <w:top w:val="single" w:color="000000" w:sz="6" w:space="0"/>
              <w:bottom w:val="single" w:color="000000" w:sz="6" w:space="0"/>
              <w:right w:val="single" w:color="000000" w:sz="6" w:space="0"/>
            </w:tcBorders>
            <w:vAlign w:val="center"/>
          </w:tcPr>
          <w:p>
            <w:pPr>
              <w:pStyle w:val="30"/>
              <w:ind w:left="273" w:right="164"/>
              <w:jc w:val="center"/>
              <w:rPr>
                <w:sz w:val="21"/>
                <w:szCs w:val="21"/>
                <w:lang w:val="en-US"/>
              </w:rPr>
            </w:pPr>
            <w:r>
              <w:rPr>
                <w:rFonts w:hint="eastAsia"/>
                <w:sz w:val="21"/>
                <w:szCs w:val="21"/>
                <w:lang w:val="en-US"/>
              </w:rPr>
              <w:t>19</w:t>
            </w:r>
          </w:p>
        </w:tc>
        <w:tc>
          <w:tcPr>
            <w:tcW w:w="1011" w:type="dxa"/>
            <w:tcBorders>
              <w:top w:val="single" w:color="000000" w:sz="6" w:space="0"/>
              <w:left w:val="single" w:color="000000" w:sz="6" w:space="0"/>
              <w:bottom w:val="single" w:color="000000" w:sz="6" w:space="0"/>
              <w:right w:val="single" w:color="000000" w:sz="6" w:space="0"/>
            </w:tcBorders>
            <w:vAlign w:val="center"/>
          </w:tcPr>
          <w:p>
            <w:pPr>
              <w:pStyle w:val="30"/>
              <w:spacing w:before="151"/>
              <w:ind w:left="107"/>
              <w:jc w:val="center"/>
              <w:rPr>
                <w:b/>
                <w:sz w:val="21"/>
                <w:szCs w:val="21"/>
              </w:rPr>
            </w:pPr>
            <w:r>
              <w:rPr>
                <w:rFonts w:hint="eastAsia"/>
                <w:b/>
                <w:sz w:val="21"/>
                <w:szCs w:val="21"/>
              </w:rPr>
              <w:t>签字盖章</w:t>
            </w:r>
          </w:p>
        </w:tc>
        <w:tc>
          <w:tcPr>
            <w:tcW w:w="8106" w:type="dxa"/>
            <w:tcBorders>
              <w:top w:val="single" w:color="000000" w:sz="6" w:space="0"/>
              <w:left w:val="single" w:color="000000" w:sz="6" w:space="0"/>
              <w:bottom w:val="single" w:color="000000" w:sz="6" w:space="0"/>
            </w:tcBorders>
          </w:tcPr>
          <w:p>
            <w:pPr>
              <w:pStyle w:val="30"/>
              <w:spacing w:before="2" w:line="264" w:lineRule="exact"/>
              <w:ind w:left="108"/>
              <w:rPr>
                <w:b/>
                <w:w w:val="95"/>
                <w:sz w:val="21"/>
                <w:szCs w:val="21"/>
              </w:rPr>
            </w:pPr>
            <w:r>
              <w:rPr>
                <w:b/>
                <w:w w:val="95"/>
                <w:sz w:val="21"/>
                <w:szCs w:val="21"/>
              </w:rPr>
              <w:t>请投标人在封面</w:t>
            </w:r>
            <w:r>
              <w:rPr>
                <w:rFonts w:hint="eastAsia"/>
                <w:b/>
                <w:w w:val="95"/>
                <w:sz w:val="21"/>
                <w:szCs w:val="21"/>
              </w:rPr>
              <w:t>及</w:t>
            </w:r>
            <w:r>
              <w:rPr>
                <w:rFonts w:hint="eastAsia"/>
                <w:b/>
                <w:w w:val="95"/>
                <w:sz w:val="21"/>
                <w:szCs w:val="21"/>
                <w:lang w:eastAsia="zh-CN"/>
              </w:rPr>
              <w:t>竞争性磋商</w:t>
            </w:r>
            <w:r>
              <w:rPr>
                <w:rFonts w:hint="eastAsia"/>
                <w:b/>
                <w:w w:val="95"/>
                <w:sz w:val="21"/>
                <w:szCs w:val="21"/>
              </w:rPr>
              <w:t>相应位置签字盖章</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578" w:hRule="atLeast"/>
        </w:trPr>
        <w:tc>
          <w:tcPr>
            <w:tcW w:w="680" w:type="dxa"/>
            <w:tcBorders>
              <w:top w:val="single" w:color="000000" w:sz="6" w:space="0"/>
              <w:bottom w:val="single" w:color="000000" w:sz="6" w:space="0"/>
              <w:right w:val="single" w:color="000000" w:sz="6" w:space="0"/>
            </w:tcBorders>
            <w:vAlign w:val="center"/>
          </w:tcPr>
          <w:p>
            <w:pPr>
              <w:pStyle w:val="30"/>
              <w:spacing w:before="8"/>
              <w:jc w:val="center"/>
              <w:rPr>
                <w:b/>
                <w:sz w:val="21"/>
                <w:szCs w:val="21"/>
              </w:rPr>
            </w:pPr>
          </w:p>
          <w:p>
            <w:pPr>
              <w:pStyle w:val="30"/>
              <w:ind w:right="291"/>
              <w:jc w:val="center"/>
              <w:rPr>
                <w:sz w:val="21"/>
                <w:szCs w:val="21"/>
                <w:lang w:val="en-US"/>
              </w:rPr>
            </w:pPr>
            <w:r>
              <w:rPr>
                <w:rFonts w:hint="eastAsia"/>
                <w:sz w:val="21"/>
                <w:szCs w:val="21"/>
                <w:lang w:val="en-US"/>
              </w:rPr>
              <w:t xml:space="preserve">  20</w:t>
            </w:r>
          </w:p>
        </w:tc>
        <w:tc>
          <w:tcPr>
            <w:tcW w:w="1011" w:type="dxa"/>
            <w:tcBorders>
              <w:top w:val="single" w:color="000000" w:sz="6" w:space="0"/>
              <w:left w:val="single" w:color="000000" w:sz="6" w:space="0"/>
              <w:bottom w:val="single" w:color="000000" w:sz="6" w:space="0"/>
              <w:right w:val="single" w:color="000000" w:sz="6" w:space="0"/>
            </w:tcBorders>
            <w:vAlign w:val="center"/>
          </w:tcPr>
          <w:p>
            <w:pPr>
              <w:pStyle w:val="30"/>
              <w:jc w:val="center"/>
              <w:rPr>
                <w:b/>
                <w:sz w:val="21"/>
                <w:szCs w:val="21"/>
              </w:rPr>
            </w:pPr>
          </w:p>
          <w:p>
            <w:pPr>
              <w:pStyle w:val="30"/>
              <w:jc w:val="center"/>
              <w:rPr>
                <w:b/>
                <w:sz w:val="21"/>
                <w:szCs w:val="21"/>
              </w:rPr>
            </w:pPr>
          </w:p>
          <w:p>
            <w:pPr>
              <w:pStyle w:val="30"/>
              <w:ind w:left="107"/>
              <w:jc w:val="center"/>
              <w:rPr>
                <w:rFonts w:hint="eastAsia" w:eastAsia="宋体"/>
                <w:b/>
                <w:sz w:val="21"/>
                <w:szCs w:val="21"/>
                <w:lang w:eastAsia="zh-CN"/>
              </w:rPr>
            </w:pPr>
            <w:r>
              <w:rPr>
                <w:rFonts w:hint="eastAsia"/>
                <w:b/>
                <w:sz w:val="21"/>
                <w:szCs w:val="21"/>
                <w:lang w:val="en-US"/>
              </w:rPr>
              <w:t>递交</w:t>
            </w:r>
            <w:r>
              <w:rPr>
                <w:rFonts w:hint="eastAsia"/>
                <w:b/>
                <w:sz w:val="21"/>
                <w:szCs w:val="21"/>
                <w:lang w:val="en-US" w:eastAsia="zh-CN"/>
              </w:rPr>
              <w:t>竞争性磋商文件</w:t>
            </w:r>
          </w:p>
          <w:p>
            <w:pPr>
              <w:pStyle w:val="30"/>
              <w:ind w:left="107"/>
              <w:jc w:val="center"/>
              <w:rPr>
                <w:b/>
                <w:sz w:val="21"/>
                <w:szCs w:val="21"/>
              </w:rPr>
            </w:pPr>
            <w:r>
              <w:rPr>
                <w:rFonts w:hint="eastAsia"/>
                <w:b/>
                <w:sz w:val="21"/>
                <w:szCs w:val="21"/>
                <w:lang w:val="en-US"/>
              </w:rPr>
              <w:t>截止时间及地点</w:t>
            </w:r>
          </w:p>
          <w:p>
            <w:pPr>
              <w:pStyle w:val="30"/>
              <w:ind w:left="107"/>
              <w:jc w:val="center"/>
              <w:rPr>
                <w:b/>
                <w:sz w:val="21"/>
                <w:szCs w:val="21"/>
              </w:rPr>
            </w:pPr>
          </w:p>
        </w:tc>
        <w:tc>
          <w:tcPr>
            <w:tcW w:w="8106" w:type="dxa"/>
            <w:tcBorders>
              <w:top w:val="single" w:color="000000" w:sz="6" w:space="0"/>
              <w:left w:val="single" w:color="000000" w:sz="6" w:space="0"/>
              <w:bottom w:val="single" w:color="000000" w:sz="6" w:space="0"/>
            </w:tcBorders>
            <w:vAlign w:val="center"/>
          </w:tcPr>
          <w:p>
            <w:pPr>
              <w:pStyle w:val="30"/>
              <w:spacing w:before="93" w:line="338" w:lineRule="auto"/>
              <w:ind w:left="108" w:right="75"/>
              <w:jc w:val="both"/>
              <w:rPr>
                <w:b/>
                <w:color w:val="FF0000"/>
                <w:sz w:val="21"/>
                <w:szCs w:val="21"/>
              </w:rPr>
            </w:pPr>
            <w:r>
              <w:rPr>
                <w:rFonts w:hint="eastAsia"/>
                <w:b/>
                <w:sz w:val="21"/>
                <w:szCs w:val="21"/>
                <w:lang w:val="en-US"/>
              </w:rPr>
              <w:t>时间：</w:t>
            </w:r>
            <w:r>
              <w:rPr>
                <w:rFonts w:hint="eastAsia"/>
                <w:spacing w:val="11"/>
                <w:sz w:val="24"/>
              </w:rPr>
              <w:t>2021年</w:t>
            </w:r>
            <w:r>
              <w:rPr>
                <w:rFonts w:hint="eastAsia"/>
                <w:spacing w:val="11"/>
                <w:sz w:val="24"/>
                <w:lang w:val="en-US"/>
              </w:rPr>
              <w:t>10</w:t>
            </w:r>
            <w:r>
              <w:rPr>
                <w:rFonts w:hint="eastAsia"/>
                <w:spacing w:val="11"/>
                <w:sz w:val="24"/>
              </w:rPr>
              <w:t>月</w:t>
            </w:r>
            <w:r>
              <w:rPr>
                <w:rFonts w:hint="eastAsia"/>
                <w:spacing w:val="11"/>
                <w:sz w:val="24"/>
                <w:lang w:val="en-US" w:eastAsia="zh-CN"/>
              </w:rPr>
              <w:t>22</w:t>
            </w:r>
            <w:r>
              <w:rPr>
                <w:rFonts w:hint="eastAsia"/>
                <w:spacing w:val="11"/>
                <w:sz w:val="24"/>
              </w:rPr>
              <w:t>日</w:t>
            </w:r>
            <w:r>
              <w:rPr>
                <w:rFonts w:hint="eastAsia"/>
                <w:spacing w:val="11"/>
                <w:sz w:val="24"/>
                <w:lang w:val="en-US"/>
              </w:rPr>
              <w:t>9</w:t>
            </w:r>
            <w:r>
              <w:rPr>
                <w:rFonts w:hint="eastAsia"/>
                <w:spacing w:val="11"/>
                <w:sz w:val="24"/>
              </w:rPr>
              <w:t>时</w:t>
            </w:r>
            <w:r>
              <w:rPr>
                <w:rFonts w:hint="eastAsia"/>
                <w:spacing w:val="11"/>
                <w:sz w:val="24"/>
                <w:lang w:val="en-US"/>
              </w:rPr>
              <w:t>0</w:t>
            </w:r>
            <w:r>
              <w:rPr>
                <w:rFonts w:hint="eastAsia"/>
                <w:spacing w:val="11"/>
                <w:sz w:val="24"/>
              </w:rPr>
              <w:t>0分</w:t>
            </w:r>
            <w:r>
              <w:rPr>
                <w:rFonts w:hint="eastAsia"/>
                <w:b/>
                <w:sz w:val="21"/>
                <w:szCs w:val="21"/>
                <w:lang w:val="en-US"/>
              </w:rPr>
              <w:t xml:space="preserve">（北京时间） </w:t>
            </w:r>
          </w:p>
          <w:p>
            <w:pPr>
              <w:pStyle w:val="30"/>
              <w:spacing w:before="93" w:line="338" w:lineRule="auto"/>
              <w:ind w:left="108" w:right="75"/>
              <w:jc w:val="both"/>
              <w:rPr>
                <w:b/>
                <w:bCs/>
                <w:lang w:val="en-US"/>
              </w:rPr>
            </w:pPr>
            <w:r>
              <w:rPr>
                <w:rFonts w:hint="eastAsia"/>
                <w:b/>
                <w:sz w:val="21"/>
                <w:szCs w:val="21"/>
                <w:lang w:val="en-US"/>
              </w:rPr>
              <w:t>地点：</w:t>
            </w:r>
            <w:r>
              <w:rPr>
                <w:b/>
                <w:bCs/>
              </w:rPr>
              <w:t>河北省邢台市襄都区中兴东大街73号</w:t>
            </w:r>
            <w:r>
              <w:rPr>
                <w:rFonts w:hint="eastAsia"/>
                <w:b/>
                <w:bCs/>
              </w:rPr>
              <w:t>，</w:t>
            </w:r>
            <w:r>
              <w:rPr>
                <w:b/>
                <w:bCs/>
              </w:rPr>
              <w:t>邢台创巢创业孵化基地</w:t>
            </w:r>
            <w:r>
              <w:rPr>
                <w:rFonts w:hint="eastAsia"/>
                <w:b/>
                <w:bCs/>
                <w:lang w:val="en-US"/>
              </w:rPr>
              <w:t>206房间</w:t>
            </w:r>
          </w:p>
          <w:p>
            <w:pPr>
              <w:pStyle w:val="30"/>
              <w:spacing w:before="93" w:line="338" w:lineRule="auto"/>
              <w:ind w:left="108" w:right="75"/>
              <w:jc w:val="both"/>
              <w:rPr>
                <w:b/>
                <w:bCs/>
                <w:lang w:val="en-US"/>
              </w:rPr>
            </w:pPr>
            <w:r>
              <w:rPr>
                <w:rFonts w:hint="eastAsia"/>
                <w:b/>
                <w:bCs/>
                <w:lang w:val="en-US"/>
              </w:rPr>
              <w:t>递交文件份数：</w:t>
            </w:r>
            <w:r>
              <w:rPr>
                <w:rFonts w:hint="eastAsia"/>
                <w:sz w:val="24"/>
              </w:rPr>
              <w:t>正本一册，副本贰册，电子</w:t>
            </w:r>
            <w:r>
              <w:rPr>
                <w:rFonts w:hint="eastAsia"/>
                <w:sz w:val="24"/>
                <w:lang w:eastAsia="zh-CN"/>
              </w:rPr>
              <w:t>竞争性磋商文件</w:t>
            </w:r>
            <w:r>
              <w:rPr>
                <w:rFonts w:hint="eastAsia"/>
                <w:sz w:val="24"/>
                <w:lang w:val="en-US"/>
              </w:rPr>
              <w:t>U盘一个。</w:t>
            </w:r>
            <w:r>
              <w:rPr>
                <w:rFonts w:hint="eastAsia"/>
                <w:b/>
                <w:bCs/>
                <w:sz w:val="24"/>
              </w:rPr>
              <w:t>（正本，副本分开密封，封条需加盖公章，电子</w:t>
            </w:r>
            <w:r>
              <w:rPr>
                <w:rFonts w:hint="eastAsia"/>
                <w:b/>
                <w:bCs/>
                <w:sz w:val="24"/>
                <w:lang w:eastAsia="zh-CN"/>
              </w:rPr>
              <w:t>竞争性磋商文件</w:t>
            </w:r>
            <w:r>
              <w:rPr>
                <w:rFonts w:hint="eastAsia"/>
                <w:b/>
                <w:bCs/>
                <w:sz w:val="24"/>
                <w:lang w:val="en-US"/>
              </w:rPr>
              <w:t>U盘放在正本密封袋中</w:t>
            </w:r>
            <w:r>
              <w:rPr>
                <w:rFonts w:hint="eastAsia"/>
                <w:b/>
                <w:bCs/>
                <w:sz w:val="24"/>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35" w:hRule="atLeast"/>
        </w:trPr>
        <w:tc>
          <w:tcPr>
            <w:tcW w:w="680" w:type="dxa"/>
            <w:tcBorders>
              <w:top w:val="single" w:color="000000" w:sz="6" w:space="0"/>
              <w:bottom w:val="single" w:color="000000" w:sz="6" w:space="0"/>
              <w:right w:val="single" w:color="000000" w:sz="6" w:space="0"/>
            </w:tcBorders>
            <w:vAlign w:val="center"/>
          </w:tcPr>
          <w:p>
            <w:pPr>
              <w:pStyle w:val="30"/>
              <w:ind w:right="291"/>
              <w:jc w:val="center"/>
              <w:rPr>
                <w:sz w:val="21"/>
                <w:szCs w:val="21"/>
                <w:lang w:val="en-US"/>
              </w:rPr>
            </w:pPr>
            <w:r>
              <w:rPr>
                <w:rFonts w:hint="eastAsia"/>
                <w:sz w:val="21"/>
                <w:szCs w:val="21"/>
                <w:lang w:val="en-US"/>
              </w:rPr>
              <w:t xml:space="preserve">   </w:t>
            </w:r>
            <w:r>
              <w:rPr>
                <w:sz w:val="21"/>
                <w:szCs w:val="21"/>
              </w:rPr>
              <w:t>2</w:t>
            </w:r>
            <w:r>
              <w:rPr>
                <w:rFonts w:hint="eastAsia"/>
                <w:sz w:val="21"/>
                <w:szCs w:val="21"/>
                <w:lang w:val="en-US"/>
              </w:rPr>
              <w:t>1</w:t>
            </w:r>
          </w:p>
        </w:tc>
        <w:tc>
          <w:tcPr>
            <w:tcW w:w="1011" w:type="dxa"/>
            <w:tcBorders>
              <w:top w:val="single" w:color="000000" w:sz="6" w:space="0"/>
              <w:left w:val="single" w:color="000000" w:sz="6" w:space="0"/>
              <w:bottom w:val="single" w:color="000000" w:sz="6" w:space="0"/>
              <w:right w:val="single" w:color="000000" w:sz="6" w:space="0"/>
            </w:tcBorders>
            <w:vAlign w:val="center"/>
          </w:tcPr>
          <w:p>
            <w:pPr>
              <w:pStyle w:val="30"/>
              <w:jc w:val="center"/>
              <w:rPr>
                <w:b/>
                <w:sz w:val="21"/>
                <w:szCs w:val="21"/>
              </w:rPr>
            </w:pPr>
            <w:r>
              <w:rPr>
                <w:rFonts w:hint="eastAsia"/>
                <w:b/>
                <w:sz w:val="21"/>
                <w:szCs w:val="21"/>
                <w:lang w:val="en-US"/>
              </w:rPr>
              <w:t>开标时间及地点</w:t>
            </w:r>
          </w:p>
          <w:p>
            <w:pPr>
              <w:pStyle w:val="30"/>
              <w:ind w:left="107"/>
              <w:jc w:val="center"/>
              <w:rPr>
                <w:b/>
                <w:sz w:val="21"/>
                <w:szCs w:val="21"/>
              </w:rPr>
            </w:pPr>
          </w:p>
        </w:tc>
        <w:tc>
          <w:tcPr>
            <w:tcW w:w="8106" w:type="dxa"/>
            <w:tcBorders>
              <w:top w:val="single" w:color="000000" w:sz="6" w:space="0"/>
              <w:left w:val="single" w:color="000000" w:sz="6" w:space="0"/>
              <w:bottom w:val="single" w:color="000000" w:sz="6" w:space="0"/>
            </w:tcBorders>
            <w:vAlign w:val="center"/>
          </w:tcPr>
          <w:p>
            <w:pPr>
              <w:pStyle w:val="30"/>
              <w:spacing w:before="94" w:line="338" w:lineRule="auto"/>
              <w:ind w:left="108" w:right="75"/>
              <w:jc w:val="both"/>
              <w:rPr>
                <w:b/>
                <w:sz w:val="21"/>
                <w:szCs w:val="21"/>
                <w:lang w:val="en-US"/>
              </w:rPr>
            </w:pPr>
            <w:r>
              <w:rPr>
                <w:rFonts w:hint="eastAsia"/>
                <w:b/>
                <w:sz w:val="21"/>
                <w:szCs w:val="21"/>
                <w:lang w:val="en-US"/>
              </w:rPr>
              <w:t xml:space="preserve">时间：同投标截止时间 </w:t>
            </w:r>
          </w:p>
          <w:p>
            <w:pPr>
              <w:pStyle w:val="30"/>
              <w:spacing w:before="94" w:line="338" w:lineRule="auto"/>
              <w:ind w:left="108" w:right="75"/>
              <w:jc w:val="both"/>
              <w:rPr>
                <w:b/>
                <w:w w:val="95"/>
                <w:sz w:val="21"/>
                <w:szCs w:val="21"/>
              </w:rPr>
            </w:pPr>
            <w:r>
              <w:rPr>
                <w:rFonts w:hint="eastAsia"/>
                <w:b/>
                <w:sz w:val="21"/>
                <w:szCs w:val="21"/>
                <w:lang w:val="en-US"/>
              </w:rPr>
              <w:t>地点：</w:t>
            </w:r>
            <w:r>
              <w:rPr>
                <w:b/>
                <w:bCs/>
              </w:rPr>
              <w:t>河北省邢台市襄都区中兴东大街73号</w:t>
            </w:r>
            <w:r>
              <w:rPr>
                <w:rFonts w:hint="eastAsia"/>
                <w:b/>
                <w:bCs/>
              </w:rPr>
              <w:t>，</w:t>
            </w:r>
            <w:r>
              <w:rPr>
                <w:b/>
                <w:bCs/>
              </w:rPr>
              <w:t>邢台创巢创业孵化基地</w:t>
            </w:r>
            <w:r>
              <w:rPr>
                <w:rFonts w:hint="eastAsia"/>
                <w:b/>
                <w:bCs/>
                <w:lang w:val="en-US"/>
              </w:rPr>
              <w:t>206房间</w:t>
            </w:r>
          </w:p>
        </w:tc>
      </w:tr>
    </w:tbl>
    <w:p/>
    <w:tbl>
      <w:tblPr>
        <w:tblStyle w:val="20"/>
        <w:tblpPr w:leftFromText="180" w:rightFromText="180" w:vertAnchor="text" w:horzAnchor="page" w:tblpX="1368" w:tblpY="51"/>
        <w:tblOverlap w:val="never"/>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2067"/>
        <w:gridCol w:w="5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1455" w:type="dxa"/>
          </w:tcPr>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spacing w:before="9"/>
              <w:jc w:val="center"/>
              <w:rPr>
                <w:b/>
                <w:sz w:val="21"/>
                <w:szCs w:val="21"/>
              </w:rPr>
            </w:pPr>
          </w:p>
          <w:p>
            <w:pPr>
              <w:pStyle w:val="30"/>
              <w:spacing w:before="1"/>
              <w:ind w:right="291"/>
              <w:jc w:val="center"/>
              <w:rPr>
                <w:sz w:val="21"/>
                <w:szCs w:val="21"/>
              </w:rPr>
            </w:pPr>
            <w:r>
              <w:rPr>
                <w:sz w:val="21"/>
                <w:szCs w:val="21"/>
              </w:rPr>
              <w:t>2</w:t>
            </w:r>
            <w:r>
              <w:rPr>
                <w:rFonts w:hint="eastAsia"/>
                <w:sz w:val="21"/>
                <w:szCs w:val="21"/>
                <w:lang w:val="en-US"/>
              </w:rPr>
              <w:t>4</w:t>
            </w:r>
          </w:p>
        </w:tc>
        <w:tc>
          <w:tcPr>
            <w:tcW w:w="2067" w:type="dxa"/>
          </w:tcPr>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jc w:val="center"/>
              <w:rPr>
                <w:b/>
                <w:sz w:val="21"/>
                <w:szCs w:val="21"/>
              </w:rPr>
            </w:pPr>
          </w:p>
          <w:p>
            <w:pPr>
              <w:pStyle w:val="30"/>
              <w:spacing w:before="9"/>
              <w:jc w:val="center"/>
              <w:rPr>
                <w:b/>
                <w:sz w:val="21"/>
                <w:szCs w:val="21"/>
              </w:rPr>
            </w:pPr>
          </w:p>
          <w:p>
            <w:pPr>
              <w:pStyle w:val="30"/>
              <w:spacing w:before="1"/>
              <w:ind w:left="107"/>
              <w:jc w:val="center"/>
              <w:rPr>
                <w:b/>
                <w:sz w:val="21"/>
                <w:szCs w:val="21"/>
              </w:rPr>
            </w:pPr>
            <w:r>
              <w:rPr>
                <w:b/>
                <w:sz w:val="21"/>
                <w:szCs w:val="21"/>
              </w:rPr>
              <w:t>开标程序</w:t>
            </w:r>
          </w:p>
        </w:tc>
        <w:tc>
          <w:tcPr>
            <w:tcW w:w="5834" w:type="dxa"/>
          </w:tcPr>
          <w:p>
            <w:pPr>
              <w:pStyle w:val="30"/>
              <w:spacing w:before="14" w:line="382" w:lineRule="exact"/>
              <w:ind w:left="108" w:right="75"/>
              <w:rPr>
                <w:b/>
                <w:sz w:val="21"/>
                <w:szCs w:val="21"/>
              </w:rPr>
            </w:pPr>
            <w:r>
              <w:rPr>
                <w:rFonts w:hint="eastAsia"/>
                <w:b/>
                <w:sz w:val="21"/>
                <w:szCs w:val="21"/>
              </w:rPr>
              <w:t>主持人按下列程序进行开标：</w:t>
            </w:r>
          </w:p>
          <w:p>
            <w:pPr>
              <w:pStyle w:val="30"/>
              <w:spacing w:before="14" w:line="382" w:lineRule="exact"/>
              <w:ind w:left="108" w:right="75"/>
              <w:rPr>
                <w:b/>
                <w:sz w:val="21"/>
                <w:szCs w:val="21"/>
              </w:rPr>
            </w:pPr>
            <w:r>
              <w:rPr>
                <w:rFonts w:hint="eastAsia"/>
                <w:b/>
                <w:sz w:val="21"/>
                <w:szCs w:val="21"/>
              </w:rPr>
              <w:t>（1）宣布开标纪律；</w:t>
            </w:r>
          </w:p>
          <w:p>
            <w:pPr>
              <w:pStyle w:val="30"/>
              <w:spacing w:before="14" w:line="382" w:lineRule="exact"/>
              <w:ind w:left="108" w:right="75"/>
              <w:rPr>
                <w:b/>
                <w:sz w:val="21"/>
                <w:szCs w:val="21"/>
              </w:rPr>
            </w:pPr>
            <w:r>
              <w:rPr>
                <w:rFonts w:hint="eastAsia"/>
                <w:b/>
                <w:sz w:val="21"/>
                <w:szCs w:val="21"/>
              </w:rPr>
              <w:t>（2）公布在投标截止时间前递交</w:t>
            </w:r>
            <w:r>
              <w:rPr>
                <w:rFonts w:hint="eastAsia"/>
                <w:b/>
                <w:sz w:val="21"/>
                <w:szCs w:val="21"/>
                <w:lang w:eastAsia="zh-CN"/>
              </w:rPr>
              <w:t>竞争性磋商文件</w:t>
            </w:r>
            <w:r>
              <w:rPr>
                <w:rFonts w:hint="eastAsia"/>
                <w:b/>
                <w:sz w:val="21"/>
                <w:szCs w:val="21"/>
              </w:rPr>
              <w:t>的投标人名称；</w:t>
            </w:r>
          </w:p>
          <w:p>
            <w:pPr>
              <w:pStyle w:val="30"/>
              <w:spacing w:before="14" w:line="382" w:lineRule="exact"/>
              <w:ind w:left="108" w:right="75"/>
              <w:rPr>
                <w:b/>
                <w:sz w:val="21"/>
                <w:szCs w:val="21"/>
              </w:rPr>
            </w:pPr>
            <w:r>
              <w:rPr>
                <w:rFonts w:hint="eastAsia"/>
                <w:b/>
                <w:sz w:val="21"/>
                <w:szCs w:val="21"/>
              </w:rPr>
              <w:t>（3）宣布开标人、唱标人、记录人、监标人等有关人员姓名；</w:t>
            </w:r>
          </w:p>
          <w:p>
            <w:pPr>
              <w:pStyle w:val="30"/>
              <w:spacing w:before="14" w:line="382" w:lineRule="exact"/>
              <w:ind w:left="108" w:right="75"/>
              <w:rPr>
                <w:b/>
                <w:sz w:val="21"/>
                <w:szCs w:val="21"/>
              </w:rPr>
            </w:pPr>
            <w:r>
              <w:rPr>
                <w:rFonts w:hint="eastAsia"/>
                <w:b/>
                <w:sz w:val="21"/>
                <w:szCs w:val="21"/>
              </w:rPr>
              <w:t>（4）对已递交的电子</w:t>
            </w:r>
            <w:r>
              <w:rPr>
                <w:rFonts w:hint="eastAsia"/>
                <w:b/>
                <w:sz w:val="21"/>
                <w:szCs w:val="21"/>
                <w:lang w:eastAsia="zh-CN"/>
              </w:rPr>
              <w:t>竞争性磋商文件</w:t>
            </w:r>
            <w:r>
              <w:rPr>
                <w:rFonts w:hint="eastAsia"/>
                <w:b/>
                <w:sz w:val="21"/>
                <w:szCs w:val="21"/>
              </w:rPr>
              <w:t>进行拆封；</w:t>
            </w:r>
          </w:p>
          <w:p>
            <w:pPr>
              <w:pStyle w:val="30"/>
              <w:spacing w:before="14" w:line="382" w:lineRule="exact"/>
              <w:ind w:left="108" w:right="75"/>
              <w:rPr>
                <w:b/>
                <w:sz w:val="21"/>
                <w:szCs w:val="21"/>
              </w:rPr>
            </w:pPr>
            <w:r>
              <w:rPr>
                <w:rFonts w:hint="eastAsia"/>
                <w:b/>
                <w:sz w:val="21"/>
                <w:szCs w:val="21"/>
              </w:rPr>
              <w:t>（</w:t>
            </w:r>
            <w:r>
              <w:rPr>
                <w:rFonts w:hint="eastAsia"/>
                <w:b/>
                <w:sz w:val="21"/>
                <w:szCs w:val="21"/>
                <w:lang w:val="en-US"/>
              </w:rPr>
              <w:t>5</w:t>
            </w:r>
            <w:r>
              <w:rPr>
                <w:rFonts w:hint="eastAsia"/>
                <w:b/>
                <w:sz w:val="21"/>
                <w:szCs w:val="21"/>
              </w:rPr>
              <w:t>）投标人在开标记录上签字确认，未行签名的视为默认开标记录；</w:t>
            </w:r>
          </w:p>
          <w:p>
            <w:pPr>
              <w:pStyle w:val="30"/>
              <w:spacing w:before="14" w:line="382" w:lineRule="exact"/>
              <w:ind w:right="75"/>
              <w:rPr>
                <w:b/>
                <w:sz w:val="21"/>
                <w:szCs w:val="21"/>
              </w:rPr>
            </w:pPr>
            <w:r>
              <w:rPr>
                <w:rFonts w:hint="eastAsia"/>
                <w:b/>
                <w:sz w:val="21"/>
                <w:szCs w:val="21"/>
              </w:rPr>
              <w:t>（</w:t>
            </w:r>
            <w:r>
              <w:rPr>
                <w:rFonts w:hint="eastAsia"/>
                <w:b/>
                <w:sz w:val="21"/>
                <w:szCs w:val="21"/>
                <w:lang w:val="en-US"/>
              </w:rPr>
              <w:t>6</w:t>
            </w:r>
            <w:r>
              <w:rPr>
                <w:rFonts w:hint="eastAsia"/>
                <w:b/>
                <w:sz w:val="21"/>
                <w:szCs w:val="21"/>
              </w:rPr>
              <w:t>）开标结束。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55" w:type="dxa"/>
            <w:vAlign w:val="center"/>
          </w:tcPr>
          <w:p>
            <w:pPr>
              <w:pStyle w:val="30"/>
              <w:spacing w:before="133"/>
              <w:ind w:right="287"/>
              <w:jc w:val="center"/>
              <w:rPr>
                <w:w w:val="95"/>
                <w:sz w:val="21"/>
                <w:szCs w:val="21"/>
              </w:rPr>
            </w:pPr>
            <w:r>
              <w:rPr>
                <w:w w:val="95"/>
                <w:sz w:val="21"/>
              </w:rPr>
              <w:t>2</w:t>
            </w:r>
            <w:r>
              <w:rPr>
                <w:rFonts w:hint="eastAsia"/>
                <w:w w:val="95"/>
                <w:sz w:val="21"/>
                <w:lang w:val="en-US"/>
              </w:rPr>
              <w:t>7</w:t>
            </w:r>
          </w:p>
        </w:tc>
        <w:tc>
          <w:tcPr>
            <w:tcW w:w="2067" w:type="dxa"/>
            <w:vAlign w:val="center"/>
          </w:tcPr>
          <w:p>
            <w:pPr>
              <w:pStyle w:val="30"/>
              <w:spacing w:before="133"/>
              <w:ind w:right="6"/>
              <w:jc w:val="center"/>
              <w:rPr>
                <w:b/>
                <w:sz w:val="21"/>
                <w:szCs w:val="21"/>
              </w:rPr>
            </w:pPr>
            <w:r>
              <w:rPr>
                <w:sz w:val="21"/>
              </w:rPr>
              <w:t>评标方法及标准</w:t>
            </w:r>
          </w:p>
        </w:tc>
        <w:tc>
          <w:tcPr>
            <w:tcW w:w="5834" w:type="dxa"/>
            <w:vAlign w:val="center"/>
          </w:tcPr>
          <w:p>
            <w:pPr>
              <w:pStyle w:val="30"/>
              <w:spacing w:before="133"/>
              <w:ind w:left="108"/>
              <w:jc w:val="both"/>
              <w:rPr>
                <w:b/>
                <w:sz w:val="21"/>
                <w:szCs w:val="21"/>
                <w:lang w:val="en-US"/>
              </w:rPr>
            </w:pPr>
            <w:r>
              <w:rPr>
                <w:rFonts w:hint="eastAsia"/>
                <w:sz w:val="24"/>
                <w:szCs w:val="24"/>
              </w:rPr>
              <w:t>综合评分法</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455" w:type="dxa"/>
            <w:vAlign w:val="center"/>
          </w:tcPr>
          <w:p>
            <w:pPr>
              <w:pStyle w:val="30"/>
              <w:spacing w:before="135"/>
              <w:ind w:right="287"/>
              <w:jc w:val="center"/>
              <w:rPr>
                <w:w w:val="95"/>
                <w:sz w:val="21"/>
                <w:szCs w:val="21"/>
              </w:rPr>
            </w:pPr>
            <w:r>
              <w:rPr>
                <w:w w:val="95"/>
                <w:sz w:val="21"/>
              </w:rPr>
              <w:t>2</w:t>
            </w:r>
            <w:r>
              <w:rPr>
                <w:rFonts w:hint="eastAsia"/>
                <w:w w:val="95"/>
                <w:sz w:val="21"/>
                <w:lang w:val="en-US"/>
              </w:rPr>
              <w:t>8</w:t>
            </w:r>
          </w:p>
        </w:tc>
        <w:tc>
          <w:tcPr>
            <w:tcW w:w="2067" w:type="dxa"/>
            <w:vAlign w:val="center"/>
          </w:tcPr>
          <w:p>
            <w:pPr>
              <w:pStyle w:val="30"/>
              <w:spacing w:before="1"/>
              <w:ind w:right="6"/>
              <w:jc w:val="center"/>
              <w:rPr>
                <w:sz w:val="21"/>
              </w:rPr>
            </w:pPr>
            <w:r>
              <w:rPr>
                <w:sz w:val="21"/>
              </w:rPr>
              <w:t>是否授权评标委员</w:t>
            </w:r>
          </w:p>
          <w:p>
            <w:pPr>
              <w:pStyle w:val="30"/>
              <w:spacing w:before="2" w:line="253" w:lineRule="exact"/>
              <w:ind w:right="6"/>
              <w:jc w:val="center"/>
              <w:rPr>
                <w:b/>
                <w:sz w:val="21"/>
                <w:szCs w:val="21"/>
              </w:rPr>
            </w:pPr>
            <w:r>
              <w:rPr>
                <w:sz w:val="21"/>
              </w:rPr>
              <w:t>会确定中标人</w:t>
            </w:r>
          </w:p>
        </w:tc>
        <w:tc>
          <w:tcPr>
            <w:tcW w:w="5834" w:type="dxa"/>
            <w:vAlign w:val="center"/>
          </w:tcPr>
          <w:p>
            <w:pPr>
              <w:pStyle w:val="30"/>
              <w:spacing w:before="1"/>
              <w:ind w:left="108"/>
              <w:jc w:val="both"/>
              <w:rPr>
                <w:b/>
                <w:sz w:val="21"/>
                <w:szCs w:val="21"/>
                <w:lang w:val="en-US"/>
              </w:rPr>
            </w:pPr>
            <w:r>
              <w:rPr>
                <w:sz w:val="21"/>
              </w:rPr>
              <w:t>是，招标人直接授权评标委员会确定排名第一的中标候选人为本项目中标人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455" w:type="dxa"/>
            <w:vAlign w:val="center"/>
          </w:tcPr>
          <w:p>
            <w:pPr>
              <w:pStyle w:val="30"/>
              <w:ind w:right="291"/>
              <w:jc w:val="center"/>
              <w:rPr>
                <w:w w:val="95"/>
                <w:sz w:val="21"/>
              </w:rPr>
            </w:pPr>
            <w:r>
              <w:rPr>
                <w:sz w:val="21"/>
              </w:rPr>
              <w:t>2</w:t>
            </w:r>
            <w:r>
              <w:rPr>
                <w:rFonts w:hint="eastAsia"/>
                <w:sz w:val="21"/>
                <w:lang w:val="en-US"/>
              </w:rPr>
              <w:t>9</w:t>
            </w:r>
          </w:p>
        </w:tc>
        <w:tc>
          <w:tcPr>
            <w:tcW w:w="2067" w:type="dxa"/>
            <w:vAlign w:val="center"/>
          </w:tcPr>
          <w:p>
            <w:pPr>
              <w:pStyle w:val="30"/>
              <w:spacing w:before="1"/>
              <w:ind w:right="6"/>
              <w:jc w:val="center"/>
              <w:rPr>
                <w:color w:val="000000"/>
                <w:sz w:val="21"/>
              </w:rPr>
            </w:pPr>
            <w:r>
              <w:rPr>
                <w:color w:val="000000"/>
                <w:sz w:val="21"/>
              </w:rPr>
              <w:t>付款方式</w:t>
            </w:r>
          </w:p>
        </w:tc>
        <w:tc>
          <w:tcPr>
            <w:tcW w:w="5834" w:type="dxa"/>
            <w:vAlign w:val="center"/>
          </w:tcPr>
          <w:p>
            <w:pPr>
              <w:pStyle w:val="30"/>
              <w:spacing w:before="1"/>
              <w:ind w:right="6"/>
              <w:jc w:val="both"/>
              <w:rPr>
                <w:color w:val="000000"/>
                <w:sz w:val="21"/>
              </w:rPr>
            </w:pPr>
            <w:r>
              <w:rPr>
                <w:rFonts w:hint="eastAsia"/>
                <w:color w:val="000000"/>
                <w:sz w:val="21"/>
              </w:rPr>
              <w:t>双方协商</w:t>
            </w:r>
          </w:p>
        </w:tc>
      </w:tr>
    </w:tbl>
    <w:tbl>
      <w:tblPr>
        <w:tblStyle w:val="20"/>
        <w:tblpPr w:leftFromText="180" w:rightFromText="180" w:vertAnchor="text" w:horzAnchor="page" w:tblpX="1362" w:tblpY="2409"/>
        <w:tblOverlap w:val="never"/>
        <w:tblW w:w="9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573"/>
        <w:gridCol w:w="7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64" w:type="dxa"/>
          </w:tcPr>
          <w:p>
            <w:pPr>
              <w:pStyle w:val="30"/>
              <w:rPr>
                <w:b/>
                <w:sz w:val="20"/>
              </w:rPr>
            </w:pPr>
          </w:p>
          <w:p>
            <w:pPr>
              <w:pStyle w:val="30"/>
              <w:spacing w:before="154"/>
              <w:ind w:right="287"/>
              <w:jc w:val="center"/>
              <w:rPr>
                <w:sz w:val="21"/>
                <w:lang w:val="en-US"/>
              </w:rPr>
            </w:pPr>
            <w:r>
              <w:rPr>
                <w:rFonts w:hint="eastAsia"/>
                <w:w w:val="95"/>
                <w:sz w:val="21"/>
                <w:lang w:val="en-US"/>
              </w:rPr>
              <w:t>30</w:t>
            </w:r>
          </w:p>
        </w:tc>
        <w:tc>
          <w:tcPr>
            <w:tcW w:w="573" w:type="dxa"/>
          </w:tcPr>
          <w:p>
            <w:pPr>
              <w:pStyle w:val="30"/>
              <w:rPr>
                <w:b/>
                <w:sz w:val="20"/>
              </w:rPr>
            </w:pPr>
          </w:p>
          <w:p>
            <w:pPr>
              <w:pStyle w:val="30"/>
              <w:spacing w:before="154"/>
              <w:ind w:right="6"/>
              <w:jc w:val="center"/>
              <w:rPr>
                <w:sz w:val="21"/>
              </w:rPr>
            </w:pPr>
            <w:r>
              <w:rPr>
                <w:sz w:val="21"/>
              </w:rPr>
              <w:t>实质性要求和条件</w:t>
            </w:r>
          </w:p>
        </w:tc>
        <w:tc>
          <w:tcPr>
            <w:tcW w:w="7324" w:type="dxa"/>
          </w:tcPr>
          <w:p>
            <w:pPr>
              <w:pStyle w:val="30"/>
              <w:spacing w:line="244" w:lineRule="auto"/>
              <w:ind w:left="108" w:right="94"/>
              <w:rPr>
                <w:b/>
                <w:sz w:val="21"/>
              </w:rPr>
            </w:pPr>
            <w:r>
              <w:rPr>
                <w:b/>
                <w:w w:val="95"/>
                <w:sz w:val="21"/>
              </w:rPr>
              <w:t>本招标文件凡是用“ 黑体”字体标志的内容，均属于实质性</w:t>
            </w:r>
            <w:r>
              <w:rPr>
                <w:b/>
                <w:sz w:val="21"/>
              </w:rPr>
              <w:t>要求和条件。</w:t>
            </w:r>
          </w:p>
          <w:p>
            <w:pPr>
              <w:pStyle w:val="30"/>
              <w:spacing w:line="265" w:lineRule="exact"/>
              <w:ind w:left="108"/>
              <w:rPr>
                <w:b/>
                <w:sz w:val="21"/>
              </w:rPr>
            </w:pPr>
            <w:r>
              <w:rPr>
                <w:rFonts w:hint="eastAsia"/>
                <w:b/>
                <w:sz w:val="21"/>
                <w:lang w:eastAsia="zh-CN"/>
              </w:rPr>
              <w:t>竞争性磋商文件</w:t>
            </w:r>
            <w:r>
              <w:rPr>
                <w:b/>
                <w:sz w:val="21"/>
              </w:rPr>
              <w:t>存在不符合招标文件规定的实质性要求和条件的情况的，按废标处理。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1464" w:type="dxa"/>
            <w:vAlign w:val="center"/>
          </w:tcPr>
          <w:p>
            <w:pPr>
              <w:pStyle w:val="30"/>
              <w:jc w:val="center"/>
              <w:rPr>
                <w:b/>
                <w:sz w:val="20"/>
              </w:rPr>
            </w:pPr>
          </w:p>
          <w:p>
            <w:pPr>
              <w:pStyle w:val="30"/>
              <w:jc w:val="center"/>
              <w:rPr>
                <w:b/>
                <w:sz w:val="20"/>
              </w:rPr>
            </w:pPr>
          </w:p>
          <w:p>
            <w:pPr>
              <w:pStyle w:val="30"/>
              <w:spacing w:before="1"/>
              <w:ind w:right="287"/>
              <w:jc w:val="center"/>
              <w:rPr>
                <w:sz w:val="21"/>
                <w:lang w:val="en-US"/>
              </w:rPr>
            </w:pPr>
            <w:r>
              <w:rPr>
                <w:rFonts w:hint="eastAsia"/>
                <w:w w:val="95"/>
                <w:sz w:val="21"/>
                <w:lang w:val="en-US"/>
              </w:rPr>
              <w:t xml:space="preserve">  31</w:t>
            </w:r>
          </w:p>
        </w:tc>
        <w:tc>
          <w:tcPr>
            <w:tcW w:w="573" w:type="dxa"/>
            <w:vAlign w:val="center"/>
          </w:tcPr>
          <w:p>
            <w:pPr>
              <w:pStyle w:val="30"/>
              <w:jc w:val="center"/>
              <w:rPr>
                <w:b/>
                <w:sz w:val="20"/>
              </w:rPr>
            </w:pPr>
          </w:p>
          <w:p>
            <w:pPr>
              <w:pStyle w:val="30"/>
              <w:spacing w:before="1"/>
              <w:ind w:right="4"/>
              <w:jc w:val="center"/>
              <w:rPr>
                <w:sz w:val="21"/>
              </w:rPr>
            </w:pPr>
            <w:r>
              <w:rPr>
                <w:sz w:val="21"/>
              </w:rPr>
              <w:t>解释权</w:t>
            </w:r>
          </w:p>
        </w:tc>
        <w:tc>
          <w:tcPr>
            <w:tcW w:w="7324" w:type="dxa"/>
            <w:vAlign w:val="center"/>
          </w:tcPr>
          <w:p>
            <w:pPr>
              <w:pStyle w:val="30"/>
              <w:spacing w:before="1" w:line="242" w:lineRule="auto"/>
              <w:ind w:right="-29"/>
              <w:jc w:val="both"/>
              <w:rPr>
                <w:b/>
                <w:sz w:val="21"/>
              </w:rPr>
            </w:pPr>
            <w:r>
              <w:rPr>
                <w:b/>
                <w:spacing w:val="9"/>
                <w:sz w:val="18"/>
                <w:szCs w:val="18"/>
              </w:rPr>
              <w:t>构成本招标文件的各个组成文件互为解释，互为说明；如有</w:t>
            </w:r>
            <w:r>
              <w:rPr>
                <w:b/>
                <w:spacing w:val="7"/>
                <w:sz w:val="18"/>
                <w:szCs w:val="18"/>
              </w:rPr>
              <w:t>不明确或不一致，构成合同文件组成内容的，以合同文件约</w:t>
            </w:r>
            <w:r>
              <w:rPr>
                <w:b/>
                <w:spacing w:val="6"/>
                <w:sz w:val="18"/>
                <w:szCs w:val="18"/>
              </w:rPr>
              <w:t>定内容为准，且以专用合同条款约定的合同文件优先顺序解释；除招标文件中有特别规定外，仅适用于招标投标阶段的</w:t>
            </w:r>
            <w:r>
              <w:rPr>
                <w:b/>
                <w:spacing w:val="5"/>
                <w:w w:val="95"/>
                <w:sz w:val="18"/>
                <w:szCs w:val="18"/>
              </w:rPr>
              <w:t>规定，按招标公告</w:t>
            </w:r>
            <w:r>
              <w:rPr>
                <w:b/>
                <w:spacing w:val="16"/>
                <w:w w:val="95"/>
                <w:sz w:val="18"/>
                <w:szCs w:val="18"/>
              </w:rPr>
              <w:t>（</w:t>
            </w:r>
            <w:r>
              <w:rPr>
                <w:b/>
                <w:spacing w:val="18"/>
                <w:w w:val="95"/>
                <w:sz w:val="18"/>
                <w:szCs w:val="18"/>
              </w:rPr>
              <w:t>投标邀请书</w:t>
            </w:r>
            <w:r>
              <w:rPr>
                <w:b/>
                <w:spacing w:val="-27"/>
                <w:w w:val="95"/>
                <w:sz w:val="18"/>
                <w:szCs w:val="18"/>
              </w:rPr>
              <w:t>）</w:t>
            </w:r>
            <w:r>
              <w:rPr>
                <w:b/>
                <w:spacing w:val="7"/>
                <w:w w:val="95"/>
                <w:sz w:val="18"/>
                <w:szCs w:val="18"/>
              </w:rPr>
              <w:t>、投标人须知、评标办法、</w:t>
            </w:r>
            <w:r>
              <w:rPr>
                <w:rFonts w:hint="eastAsia"/>
                <w:b/>
                <w:spacing w:val="7"/>
                <w:sz w:val="18"/>
                <w:szCs w:val="18"/>
                <w:lang w:eastAsia="zh-CN"/>
              </w:rPr>
              <w:t>竞争性磋商文件</w:t>
            </w:r>
            <w:r>
              <w:rPr>
                <w:b/>
                <w:spacing w:val="7"/>
                <w:sz w:val="18"/>
                <w:szCs w:val="18"/>
              </w:rPr>
              <w:t>格式的先后顺序解释；同一组成文件中就同一事项</w:t>
            </w:r>
            <w:r>
              <w:rPr>
                <w:b/>
                <w:spacing w:val="8"/>
                <w:sz w:val="18"/>
                <w:szCs w:val="18"/>
              </w:rPr>
              <w:t>的规定或约定不一致的，以编排顺序在后者为准；同一组成</w:t>
            </w:r>
            <w:r>
              <w:rPr>
                <w:b/>
                <w:spacing w:val="9"/>
                <w:sz w:val="18"/>
                <w:szCs w:val="18"/>
              </w:rPr>
              <w:t>文件不同版本之间有不一致的，以形成时间在后者为准。按</w:t>
            </w:r>
            <w:r>
              <w:rPr>
                <w:b/>
                <w:sz w:val="18"/>
                <w:szCs w:val="18"/>
              </w:rPr>
              <w:t>本款前述规定仍不能形成结论的， 由招标人负责解释。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464" w:type="dxa"/>
            <w:vAlign w:val="center"/>
          </w:tcPr>
          <w:p>
            <w:pPr>
              <w:pStyle w:val="30"/>
              <w:spacing w:before="151"/>
              <w:ind w:right="287"/>
              <w:jc w:val="center"/>
              <w:rPr>
                <w:sz w:val="21"/>
              </w:rPr>
            </w:pPr>
            <w:r>
              <w:rPr>
                <w:rFonts w:hint="eastAsia"/>
                <w:w w:val="95"/>
                <w:sz w:val="21"/>
                <w:lang w:val="en-US"/>
              </w:rPr>
              <w:t xml:space="preserve">  </w:t>
            </w:r>
            <w:r>
              <w:rPr>
                <w:w w:val="95"/>
                <w:sz w:val="21"/>
              </w:rPr>
              <w:t>3</w:t>
            </w:r>
            <w:r>
              <w:rPr>
                <w:rFonts w:hint="eastAsia"/>
                <w:w w:val="95"/>
                <w:sz w:val="21"/>
                <w:lang w:val="en-US"/>
              </w:rPr>
              <w:t>2</w:t>
            </w:r>
          </w:p>
        </w:tc>
        <w:tc>
          <w:tcPr>
            <w:tcW w:w="573" w:type="dxa"/>
            <w:vAlign w:val="center"/>
          </w:tcPr>
          <w:p>
            <w:pPr>
              <w:pStyle w:val="30"/>
              <w:spacing w:before="151"/>
              <w:ind w:right="6"/>
              <w:jc w:val="center"/>
              <w:rPr>
                <w:sz w:val="21"/>
              </w:rPr>
            </w:pPr>
            <w:r>
              <w:rPr>
                <w:sz w:val="21"/>
              </w:rPr>
              <w:t>招标代理费</w:t>
            </w:r>
          </w:p>
        </w:tc>
        <w:tc>
          <w:tcPr>
            <w:tcW w:w="7324" w:type="dxa"/>
            <w:vAlign w:val="center"/>
          </w:tcPr>
          <w:p>
            <w:pPr>
              <w:pStyle w:val="30"/>
              <w:spacing w:before="2"/>
              <w:ind w:left="108"/>
              <w:jc w:val="both"/>
              <w:rPr>
                <w:sz w:val="21"/>
              </w:rPr>
            </w:pPr>
            <w:r>
              <w:rPr>
                <w:rFonts w:hint="eastAsia"/>
                <w:b/>
                <w:spacing w:val="8"/>
                <w:sz w:val="21"/>
                <w:lang w:val="en-US"/>
              </w:rPr>
              <w:t>代理服务费由中标人参照国家计委计价格[2002]1980号文件和国家发改办价格[2003]857号文件标准向招标代理机构一次性支付。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4" w:type="dxa"/>
            <w:vAlign w:val="center"/>
          </w:tcPr>
          <w:p>
            <w:pPr>
              <w:pStyle w:val="30"/>
              <w:spacing w:before="136"/>
              <w:ind w:firstLine="597" w:firstLineChars="300"/>
              <w:jc w:val="both"/>
              <w:rPr>
                <w:sz w:val="21"/>
                <w:lang w:val="en-US"/>
              </w:rPr>
            </w:pPr>
            <w:r>
              <w:rPr>
                <w:rFonts w:hint="eastAsia"/>
                <w:w w:val="95"/>
                <w:sz w:val="21"/>
                <w:lang w:val="en-US"/>
              </w:rPr>
              <w:t>33</w:t>
            </w:r>
          </w:p>
        </w:tc>
        <w:tc>
          <w:tcPr>
            <w:tcW w:w="573" w:type="dxa"/>
            <w:vAlign w:val="center"/>
          </w:tcPr>
          <w:p>
            <w:pPr>
              <w:pStyle w:val="30"/>
              <w:spacing w:line="268" w:lineRule="exact"/>
              <w:ind w:right="1"/>
              <w:jc w:val="center"/>
              <w:rPr>
                <w:sz w:val="21"/>
              </w:rPr>
            </w:pPr>
            <w:r>
              <w:rPr>
                <w:sz w:val="21"/>
              </w:rPr>
              <w:t>关于工期的特别说</w:t>
            </w:r>
          </w:p>
          <w:p>
            <w:pPr>
              <w:pStyle w:val="30"/>
              <w:spacing w:before="4" w:line="251" w:lineRule="exact"/>
              <w:ind w:right="4"/>
              <w:jc w:val="center"/>
              <w:rPr>
                <w:sz w:val="21"/>
              </w:rPr>
            </w:pPr>
            <w:r>
              <w:rPr>
                <w:w w:val="99"/>
                <w:sz w:val="21"/>
              </w:rPr>
              <w:t>明</w:t>
            </w:r>
          </w:p>
        </w:tc>
        <w:tc>
          <w:tcPr>
            <w:tcW w:w="7324" w:type="dxa"/>
            <w:vAlign w:val="center"/>
          </w:tcPr>
          <w:p>
            <w:pPr>
              <w:pStyle w:val="30"/>
              <w:spacing w:before="136"/>
              <w:ind w:left="108"/>
              <w:jc w:val="both"/>
              <w:rPr>
                <w:sz w:val="21"/>
              </w:rPr>
            </w:pPr>
            <w:r>
              <w:rPr>
                <w:b/>
                <w:bCs/>
                <w:sz w:val="21"/>
              </w:rPr>
              <w:t>中标人不得以反季节为由推迟工期。</w:t>
            </w:r>
          </w:p>
        </w:tc>
      </w:tr>
    </w:tbl>
    <w:p>
      <w:pPr>
        <w:pStyle w:val="29"/>
        <w:numPr>
          <w:ilvl w:val="0"/>
          <w:numId w:val="2"/>
        </w:numPr>
        <w:tabs>
          <w:tab w:val="left" w:pos="1247"/>
          <w:tab w:val="clear" w:pos="312"/>
        </w:tabs>
        <w:spacing w:before="67" w:line="388" w:lineRule="auto"/>
        <w:ind w:right="566"/>
        <w:rPr>
          <w:spacing w:val="12"/>
          <w:sz w:val="21"/>
          <w:szCs w:val="21"/>
        </w:rPr>
      </w:pPr>
      <w:bookmarkStart w:id="4" w:name="项号"/>
      <w:bookmarkEnd w:id="4"/>
      <w:r>
        <w:rPr>
          <w:rFonts w:hint="eastAsia"/>
          <w:spacing w:val="13"/>
          <w:sz w:val="21"/>
          <w:szCs w:val="21"/>
          <w:lang w:eastAsia="zh-CN"/>
        </w:rPr>
        <w:t>竞争性磋商文件</w:t>
      </w:r>
      <w:r>
        <w:rPr>
          <w:spacing w:val="13"/>
          <w:sz w:val="21"/>
          <w:szCs w:val="21"/>
        </w:rPr>
        <w:t>中相关原件、证明、证书、材料等须为其原件</w:t>
      </w:r>
      <w:r>
        <w:rPr>
          <w:rFonts w:hint="eastAsia"/>
          <w:spacing w:val="13"/>
          <w:sz w:val="21"/>
          <w:szCs w:val="21"/>
        </w:rPr>
        <w:t>复印件并加盖公章</w:t>
      </w:r>
      <w:r>
        <w:rPr>
          <w:spacing w:val="13"/>
          <w:sz w:val="21"/>
          <w:szCs w:val="21"/>
        </w:rPr>
        <w:t>，其</w:t>
      </w:r>
      <w:r>
        <w:rPr>
          <w:spacing w:val="12"/>
          <w:sz w:val="21"/>
          <w:szCs w:val="21"/>
        </w:rPr>
        <w:t>真实性由投标人负责</w:t>
      </w:r>
    </w:p>
    <w:p>
      <w:pPr>
        <w:pStyle w:val="29"/>
        <w:numPr>
          <w:ilvl w:val="0"/>
          <w:numId w:val="0"/>
        </w:numPr>
        <w:tabs>
          <w:tab w:val="left" w:pos="1247"/>
        </w:tabs>
        <w:spacing w:before="67" w:line="388" w:lineRule="auto"/>
        <w:ind w:left="958" w:leftChars="0" w:right="566" w:rightChars="0"/>
        <w:rPr>
          <w:sz w:val="21"/>
          <w:szCs w:val="21"/>
        </w:rPr>
      </w:pPr>
      <w:r>
        <w:rPr>
          <w:rFonts w:hint="eastAsia"/>
          <w:spacing w:val="13"/>
          <w:sz w:val="21"/>
          <w:szCs w:val="21"/>
          <w:lang w:val="en-US" w:eastAsia="zh-CN"/>
        </w:rPr>
        <w:t>2.</w:t>
      </w:r>
      <w:r>
        <w:rPr>
          <w:spacing w:val="13"/>
          <w:sz w:val="21"/>
          <w:szCs w:val="21"/>
        </w:rPr>
        <w:t>招标文件正文中，如有与投标人须知前附表内容不一致的情况，以投标人须</w:t>
      </w:r>
      <w:r>
        <w:rPr>
          <w:spacing w:val="12"/>
          <w:sz w:val="21"/>
          <w:szCs w:val="21"/>
        </w:rPr>
        <w:t>知前附表为准。</w:t>
      </w:r>
    </w:p>
    <w:p>
      <w:pPr>
        <w:spacing w:line="380" w:lineRule="atLeast"/>
        <w:rPr>
          <w:sz w:val="21"/>
          <w:szCs w:val="21"/>
        </w:rPr>
        <w:sectPr>
          <w:footerReference r:id="rId4" w:type="default"/>
          <w:pgSz w:w="11910" w:h="16840"/>
          <w:pgMar w:top="1400" w:right="720" w:bottom="1100" w:left="940" w:header="0" w:footer="913" w:gutter="0"/>
          <w:cols w:space="720" w:num="1"/>
        </w:sectPr>
      </w:pPr>
    </w:p>
    <w:p>
      <w:pPr>
        <w:pStyle w:val="3"/>
        <w:rPr>
          <w:rFonts w:hint="eastAsia" w:ascii="宋体" w:hAnsi="宋体" w:cs="宋体"/>
          <w:color w:val="auto"/>
          <w:sz w:val="32"/>
          <w:szCs w:val="32"/>
        </w:rPr>
      </w:pPr>
      <w:r>
        <w:rPr>
          <w:rFonts w:hint="eastAsia" w:ascii="宋体" w:hAnsi="宋体" w:cs="宋体"/>
          <w:color w:val="auto"/>
          <w:sz w:val="32"/>
          <w:szCs w:val="32"/>
        </w:rPr>
        <w:t>竞争性磋商须知</w:t>
      </w:r>
    </w:p>
    <w:p>
      <w:pPr>
        <w:pStyle w:val="4"/>
        <w:spacing w:line="460" w:lineRule="exact"/>
        <w:ind w:firstLine="480"/>
        <w:rPr>
          <w:rFonts w:hint="eastAsia" w:hAnsi="宋体" w:cs="宋体"/>
        </w:rPr>
      </w:pPr>
      <w:bookmarkStart w:id="5" w:name="_Toc40289562"/>
      <w:bookmarkStart w:id="6" w:name="_Toc314062386"/>
      <w:r>
        <w:rPr>
          <w:rFonts w:hint="eastAsia" w:hAnsi="宋体" w:cs="宋体"/>
        </w:rPr>
        <w:t>一、总则</w:t>
      </w:r>
      <w:bookmarkEnd w:id="5"/>
      <w:bookmarkEnd w:id="6"/>
    </w:p>
    <w:p>
      <w:pPr>
        <w:spacing w:line="460" w:lineRule="exact"/>
        <w:jc w:val="left"/>
        <w:rPr>
          <w:rFonts w:hint="eastAsia" w:ascii="宋体" w:hAnsi="宋体" w:cs="宋体"/>
          <w:sz w:val="24"/>
        </w:rPr>
      </w:pPr>
      <w:r>
        <w:rPr>
          <w:rFonts w:hint="eastAsia" w:ascii="宋体" w:hAnsi="宋体" w:cs="宋体"/>
          <w:sz w:val="24"/>
        </w:rPr>
        <w:t xml:space="preserve">   （一）适用范围</w:t>
      </w:r>
    </w:p>
    <w:p>
      <w:pPr>
        <w:spacing w:line="460" w:lineRule="exact"/>
        <w:ind w:firstLine="480" w:firstLineChars="200"/>
        <w:rPr>
          <w:rFonts w:hint="eastAsia" w:ascii="宋体" w:hAnsi="宋体" w:cs="宋体"/>
          <w:sz w:val="24"/>
        </w:rPr>
      </w:pPr>
      <w:r>
        <w:rPr>
          <w:rFonts w:hint="eastAsia" w:ascii="宋体" w:hAnsi="宋体" w:cs="宋体"/>
          <w:sz w:val="24"/>
        </w:rPr>
        <w:t>1、本竞争性磋商文件仅适用于本次竞争性磋商文件中所述项目的内容。</w:t>
      </w:r>
    </w:p>
    <w:p>
      <w:pPr>
        <w:spacing w:line="460" w:lineRule="exact"/>
        <w:ind w:firstLine="480" w:firstLineChars="200"/>
        <w:rPr>
          <w:rFonts w:hint="eastAsia" w:ascii="宋体" w:hAnsi="宋体" w:cs="宋体"/>
          <w:sz w:val="24"/>
        </w:rPr>
      </w:pPr>
      <w:r>
        <w:rPr>
          <w:rFonts w:hint="eastAsia" w:ascii="宋体" w:hAnsi="宋体" w:cs="宋体"/>
          <w:sz w:val="24"/>
        </w:rPr>
        <w:t>2、</w:t>
      </w:r>
      <w:bookmarkStart w:id="7" w:name="_Toc259712444"/>
      <w:r>
        <w:rPr>
          <w:rFonts w:hint="eastAsia" w:ascii="宋体" w:hAnsi="宋体" w:cs="宋体"/>
          <w:sz w:val="24"/>
        </w:rPr>
        <w:t>资金来源</w:t>
      </w:r>
      <w:bookmarkEnd w:id="7"/>
      <w:r>
        <w:rPr>
          <w:rFonts w:hint="eastAsia" w:ascii="宋体" w:hAnsi="宋体" w:cs="宋体"/>
          <w:sz w:val="24"/>
        </w:rPr>
        <w:t>：</w:t>
      </w:r>
      <w:r>
        <w:rPr>
          <w:rFonts w:hint="eastAsia" w:cs="宋体"/>
          <w:sz w:val="24"/>
          <w:lang w:eastAsia="zh-CN"/>
        </w:rPr>
        <w:t>财政</w:t>
      </w:r>
      <w:r>
        <w:rPr>
          <w:rFonts w:hint="eastAsia" w:ascii="宋体" w:hAnsi="宋体" w:cs="宋体"/>
          <w:sz w:val="24"/>
          <w:lang w:eastAsia="zh-CN"/>
        </w:rPr>
        <w:t>资金</w:t>
      </w:r>
      <w:r>
        <w:rPr>
          <w:rFonts w:hint="eastAsia" w:ascii="宋体" w:hAnsi="宋体" w:cs="宋体"/>
          <w:sz w:val="24"/>
        </w:rPr>
        <w:t>。</w:t>
      </w:r>
    </w:p>
    <w:p>
      <w:pPr>
        <w:spacing w:line="460" w:lineRule="exact"/>
        <w:rPr>
          <w:rFonts w:hint="eastAsia" w:ascii="宋体" w:hAnsi="宋体" w:cs="宋体"/>
          <w:sz w:val="24"/>
        </w:rPr>
      </w:pPr>
      <w:r>
        <w:rPr>
          <w:rFonts w:hint="eastAsia" w:ascii="宋体" w:hAnsi="宋体" w:cs="宋体"/>
          <w:sz w:val="24"/>
        </w:rPr>
        <w:t xml:space="preserve">   （二）定义</w:t>
      </w:r>
    </w:p>
    <w:p>
      <w:pPr>
        <w:ind w:firstLine="480" w:firstLineChars="200"/>
        <w:rPr>
          <w:rFonts w:hint="eastAsia" w:ascii="宋体" w:hAnsi="宋体" w:cs="宋体"/>
          <w:bCs/>
          <w:sz w:val="24"/>
        </w:rPr>
      </w:pPr>
      <w:r>
        <w:rPr>
          <w:rFonts w:hint="eastAsia" w:ascii="宋体" w:hAnsi="宋体" w:cs="宋体"/>
          <w:sz w:val="24"/>
        </w:rPr>
        <w:t>1、“招标人”为</w:t>
      </w:r>
      <w:r>
        <w:rPr>
          <w:rFonts w:hint="eastAsia" w:cs="宋体"/>
          <w:sz w:val="24"/>
          <w:lang w:eastAsia="zh-CN"/>
        </w:rPr>
        <w:t>邢台市林业局</w:t>
      </w:r>
      <w:r>
        <w:rPr>
          <w:rFonts w:hint="eastAsia" w:ascii="宋体" w:hAnsi="宋体" w:cs="宋体"/>
          <w:bCs/>
          <w:sz w:val="24"/>
        </w:rPr>
        <w:t>。</w:t>
      </w:r>
    </w:p>
    <w:p>
      <w:pPr>
        <w:pStyle w:val="11"/>
        <w:spacing w:line="360" w:lineRule="exact"/>
        <w:ind w:firstLine="960" w:firstLineChars="400"/>
        <w:rPr>
          <w:rFonts w:hint="eastAsia" w:ascii="宋体" w:hAnsi="宋体" w:cs="宋体"/>
          <w:sz w:val="24"/>
        </w:rPr>
      </w:pPr>
      <w:r>
        <w:rPr>
          <w:rFonts w:hint="eastAsia" w:ascii="宋体" w:hAnsi="宋体" w:cs="宋体"/>
          <w:sz w:val="24"/>
        </w:rPr>
        <w:t>2、“招标代理机构”系指具备相应资格，受招标人委托，从事本次招标代理业务并提供相关服务的社会中介机构，即</w:t>
      </w:r>
      <w:r>
        <w:rPr>
          <w:rFonts w:hint="eastAsia"/>
        </w:rPr>
        <w:t>邢台华铭工程项目管理有限公司</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3、“投标人”系指参加该项目磋商的投标单位。</w:t>
      </w:r>
    </w:p>
    <w:p>
      <w:pPr>
        <w:spacing w:line="460" w:lineRule="exact"/>
        <w:ind w:firstLine="480" w:firstLineChars="200"/>
        <w:rPr>
          <w:rFonts w:hint="eastAsia" w:ascii="宋体" w:hAnsi="宋体" w:cs="宋体"/>
          <w:sz w:val="24"/>
        </w:rPr>
      </w:pPr>
      <w:r>
        <w:rPr>
          <w:rFonts w:hint="eastAsia" w:ascii="宋体" w:hAnsi="宋体" w:cs="宋体"/>
          <w:sz w:val="24"/>
        </w:rPr>
        <w:t>4、 “项目”系指投标人根据竞争性磋商文件规定须向招标人提供的一切货物及服务。</w:t>
      </w:r>
    </w:p>
    <w:p>
      <w:pPr>
        <w:spacing w:line="460" w:lineRule="exact"/>
        <w:jc w:val="left"/>
        <w:rPr>
          <w:rFonts w:hint="eastAsia" w:ascii="宋体" w:hAnsi="宋体" w:cs="宋体"/>
          <w:sz w:val="24"/>
        </w:rPr>
      </w:pPr>
      <w:r>
        <w:rPr>
          <w:rFonts w:hint="eastAsia" w:ascii="宋体" w:hAnsi="宋体" w:cs="宋体"/>
          <w:sz w:val="24"/>
        </w:rPr>
        <w:t xml:space="preserve">   （三）本次政府招标方式为：竞争性磋商</w:t>
      </w:r>
    </w:p>
    <w:p>
      <w:pPr>
        <w:spacing w:line="460" w:lineRule="exact"/>
        <w:jc w:val="left"/>
        <w:rPr>
          <w:rFonts w:hint="eastAsia" w:ascii="宋体" w:hAnsi="宋体" w:cs="宋体"/>
          <w:sz w:val="24"/>
        </w:rPr>
      </w:pPr>
      <w:r>
        <w:rPr>
          <w:rFonts w:hint="eastAsia" w:ascii="宋体" w:hAnsi="宋体" w:cs="宋体"/>
          <w:sz w:val="24"/>
        </w:rPr>
        <w:t xml:space="preserve">   （四）合格的投标人</w:t>
      </w:r>
    </w:p>
    <w:p>
      <w:pPr>
        <w:spacing w:line="460" w:lineRule="exact"/>
        <w:ind w:firstLine="420" w:firstLineChars="175"/>
        <w:jc w:val="left"/>
        <w:rPr>
          <w:rFonts w:hint="eastAsia" w:ascii="宋体" w:hAnsi="宋体" w:cs="宋体"/>
          <w:sz w:val="24"/>
        </w:rPr>
      </w:pPr>
      <w:r>
        <w:rPr>
          <w:rFonts w:hint="eastAsia" w:ascii="宋体" w:hAnsi="宋体" w:cs="宋体"/>
          <w:sz w:val="24"/>
        </w:rPr>
        <w:t xml:space="preserve"> 1、具备《中华人民共和国政府采购法》第二十二条规定的投标人基本条件：</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（1）具有独立承担民事责任的能力；</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（2）具有良好的商业信誉和健全的财务会计制度；</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（3）具有履行合同所必需的设备和专业技术能力；</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（4）有依法缴纳税收和社会保障资金的良好记录及社会良好的信誉；</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（5）参加政府招标活动前三年内，在经营活动中没有重大违法记录；</w:t>
      </w:r>
    </w:p>
    <w:p>
      <w:pPr>
        <w:spacing w:line="460" w:lineRule="exact"/>
        <w:ind w:firstLine="480" w:firstLineChars="200"/>
        <w:jc w:val="left"/>
        <w:rPr>
          <w:rFonts w:hint="eastAsia" w:ascii="宋体" w:hAnsi="宋体" w:cs="宋体"/>
          <w:sz w:val="24"/>
        </w:rPr>
      </w:pPr>
      <w:r>
        <w:rPr>
          <w:rFonts w:hint="eastAsia" w:ascii="宋体" w:hAnsi="宋体" w:cs="宋体"/>
          <w:sz w:val="24"/>
        </w:rPr>
        <w:t xml:space="preserve"> （6）法律、行政法规规定的其他条件；</w:t>
      </w:r>
    </w:p>
    <w:p>
      <w:pPr>
        <w:spacing w:line="460" w:lineRule="exact"/>
        <w:ind w:firstLine="520" w:firstLineChars="200"/>
        <w:jc w:val="left"/>
        <w:rPr>
          <w:rFonts w:hint="eastAsia" w:ascii="宋体" w:hAnsi="宋体" w:cs="宋体"/>
          <w:sz w:val="24"/>
        </w:rPr>
      </w:pPr>
      <w:r>
        <w:rPr>
          <w:rFonts w:hint="eastAsia" w:ascii="宋体"/>
          <w:spacing w:val="10"/>
          <w:kern w:val="0"/>
          <w:sz w:val="24"/>
          <w:szCs w:val="21"/>
        </w:rPr>
        <w:t>2、投标人其他要求详见前附表。</w:t>
      </w:r>
    </w:p>
    <w:p>
      <w:pPr>
        <w:spacing w:line="460" w:lineRule="exact"/>
        <w:ind w:firstLine="480" w:firstLineChars="200"/>
        <w:jc w:val="left"/>
        <w:rPr>
          <w:rFonts w:hint="eastAsia" w:ascii="宋体" w:hAnsi="宋体" w:cs="宋体"/>
          <w:sz w:val="24"/>
        </w:rPr>
      </w:pPr>
      <w:r>
        <w:rPr>
          <w:rFonts w:hint="eastAsia" w:ascii="宋体" w:hAnsi="宋体" w:cs="宋体"/>
          <w:sz w:val="24"/>
        </w:rPr>
        <w:t>3、本项目不接受联合体投标。</w:t>
      </w:r>
    </w:p>
    <w:p>
      <w:pPr>
        <w:spacing w:line="460" w:lineRule="exact"/>
        <w:ind w:firstLine="480" w:firstLineChars="200"/>
        <w:jc w:val="left"/>
        <w:rPr>
          <w:rFonts w:hint="eastAsia" w:ascii="宋体" w:hAnsi="宋体" w:cs="宋体"/>
          <w:sz w:val="24"/>
        </w:rPr>
      </w:pPr>
      <w:bookmarkStart w:id="8" w:name="_Toc259712468"/>
      <w:bookmarkStart w:id="9" w:name="_Toc73267575"/>
      <w:r>
        <w:rPr>
          <w:rFonts w:hint="eastAsia" w:ascii="宋体" w:hAnsi="宋体" w:cs="宋体"/>
          <w:sz w:val="24"/>
          <w:lang w:val="en-US" w:eastAsia="zh-CN"/>
        </w:rPr>
        <w:t>4</w:t>
      </w:r>
      <w:r>
        <w:rPr>
          <w:rFonts w:hint="eastAsia" w:ascii="宋体" w:hAnsi="宋体" w:cs="宋体"/>
          <w:sz w:val="24"/>
        </w:rPr>
        <w:t>、投标人知悉</w:t>
      </w:r>
      <w:bookmarkEnd w:id="8"/>
      <w:bookmarkEnd w:id="9"/>
    </w:p>
    <w:p>
      <w:pPr>
        <w:spacing w:line="460" w:lineRule="exact"/>
        <w:ind w:firstLine="480" w:firstLineChars="200"/>
        <w:jc w:val="left"/>
        <w:rPr>
          <w:rFonts w:hint="eastAsia" w:ascii="宋体" w:hAnsi="宋体" w:cs="宋体"/>
          <w:sz w:val="24"/>
        </w:rPr>
      </w:pPr>
      <w:r>
        <w:rPr>
          <w:rFonts w:hint="eastAsia" w:ascii="宋体" w:hAnsi="宋体" w:cs="宋体"/>
          <w:sz w:val="24"/>
        </w:rPr>
        <w:t>投标人将被视为已合理地尽可能地对所有影响项目的事项，包括任何与项目和招标人需求所列明的有关的特殊困难有了充分的了解。</w:t>
      </w:r>
    </w:p>
    <w:p>
      <w:pPr>
        <w:spacing w:line="460" w:lineRule="exact"/>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、投标人应遵守《中华人民共和国政府采购法》及其他相关法律、法规。</w:t>
      </w:r>
    </w:p>
    <w:p>
      <w:pPr>
        <w:pStyle w:val="55"/>
        <w:spacing w:line="460" w:lineRule="exact"/>
        <w:ind w:firstLine="480"/>
        <w:rPr>
          <w:rFonts w:hint="eastAsia" w:hAnsi="宋体"/>
          <w:highlight w:val="green"/>
          <w:lang w:eastAsia="zh-CN"/>
        </w:rPr>
      </w:pPr>
      <w:r>
        <w:rPr>
          <w:rFonts w:hint="eastAsia" w:hAnsi="宋体"/>
          <w:lang w:val="en-US" w:eastAsia="zh-CN"/>
        </w:rPr>
        <w:t>6</w:t>
      </w:r>
      <w:r>
        <w:rPr>
          <w:rFonts w:hint="eastAsia" w:hAnsi="宋体"/>
          <w:lang w:eastAsia="zh-CN"/>
        </w:rPr>
        <w:t>、投标人</w:t>
      </w:r>
      <w:r>
        <w:rPr>
          <w:rFonts w:hint="eastAsia" w:hAnsi="宋体"/>
        </w:rPr>
        <w:t>必须</w:t>
      </w:r>
      <w:r>
        <w:rPr>
          <w:rFonts w:hint="eastAsia" w:hAnsi="宋体"/>
          <w:lang w:eastAsia="zh-CN"/>
        </w:rPr>
        <w:t>报名成功，</w:t>
      </w:r>
      <w:r>
        <w:rPr>
          <w:rFonts w:hint="eastAsia" w:hAnsi="宋体"/>
        </w:rPr>
        <w:t>未</w:t>
      </w:r>
      <w:r>
        <w:rPr>
          <w:rFonts w:hint="eastAsia" w:hAnsi="宋体"/>
          <w:lang w:val="en-US" w:eastAsia="zh-CN"/>
        </w:rPr>
        <w:t>报名成功</w:t>
      </w:r>
      <w:r>
        <w:rPr>
          <w:rFonts w:hint="eastAsia" w:hAnsi="宋体"/>
        </w:rPr>
        <w:t>的潜在</w:t>
      </w:r>
      <w:r>
        <w:rPr>
          <w:rFonts w:hint="eastAsia" w:hAnsi="宋体"/>
          <w:lang w:eastAsia="zh-CN"/>
        </w:rPr>
        <w:t>投标人</w:t>
      </w:r>
      <w:r>
        <w:rPr>
          <w:rFonts w:hint="eastAsia" w:hAnsi="宋体"/>
        </w:rPr>
        <w:t>均无资格参加本次</w:t>
      </w:r>
      <w:r>
        <w:rPr>
          <w:rFonts w:hint="eastAsia" w:hAnsi="宋体"/>
          <w:lang w:eastAsia="zh-CN"/>
        </w:rPr>
        <w:t>磋商。</w:t>
      </w:r>
    </w:p>
    <w:p>
      <w:pPr>
        <w:spacing w:line="460" w:lineRule="exact"/>
        <w:jc w:val="left"/>
        <w:rPr>
          <w:rFonts w:hint="eastAsia" w:ascii="宋体" w:hAnsi="宋体" w:cs="宋体"/>
          <w:sz w:val="24"/>
        </w:rPr>
      </w:pPr>
      <w:r>
        <w:rPr>
          <w:rFonts w:hint="eastAsia" w:ascii="宋体" w:hAnsi="宋体" w:cs="宋体"/>
          <w:sz w:val="24"/>
        </w:rPr>
        <w:t xml:space="preserve">  （五）磋商费用</w:t>
      </w:r>
    </w:p>
    <w:p>
      <w:pPr>
        <w:spacing w:line="460" w:lineRule="exact"/>
        <w:ind w:firstLine="480" w:firstLineChars="200"/>
        <w:jc w:val="left"/>
        <w:rPr>
          <w:rFonts w:hint="eastAsia" w:ascii="宋体" w:hAnsi="宋体" w:cs="宋体"/>
          <w:sz w:val="24"/>
        </w:rPr>
      </w:pPr>
      <w:r>
        <w:rPr>
          <w:rFonts w:hint="eastAsia" w:ascii="宋体" w:hAnsi="宋体" w:cs="宋体"/>
          <w:sz w:val="24"/>
        </w:rPr>
        <w:t>1、投标人应承担其编制磋商</w:t>
      </w:r>
      <w:r>
        <w:rPr>
          <w:rFonts w:hint="eastAsia" w:ascii="宋体" w:hAnsi="宋体" w:cs="宋体"/>
          <w:bCs/>
          <w:sz w:val="24"/>
        </w:rPr>
        <w:t>响应</w:t>
      </w:r>
      <w:r>
        <w:rPr>
          <w:rFonts w:hint="eastAsia" w:ascii="宋体" w:hAnsi="宋体" w:cs="宋体"/>
          <w:sz w:val="24"/>
        </w:rPr>
        <w:t>文件和递交磋商</w:t>
      </w:r>
      <w:r>
        <w:rPr>
          <w:rFonts w:hint="eastAsia" w:ascii="宋体" w:hAnsi="宋体" w:cs="宋体"/>
          <w:bCs/>
          <w:sz w:val="24"/>
        </w:rPr>
        <w:t>响应</w:t>
      </w:r>
      <w:r>
        <w:rPr>
          <w:rFonts w:hint="eastAsia" w:ascii="宋体" w:hAnsi="宋体" w:cs="宋体"/>
          <w:sz w:val="24"/>
        </w:rPr>
        <w:t>文件等所涉及的有关参加本次磋商的一切费用。不论磋商结果如何，招标代理机构和招标人在任何情况下均无义务也无责任承担这些费用。</w:t>
      </w:r>
    </w:p>
    <w:p>
      <w:pPr>
        <w:spacing w:line="460" w:lineRule="exact"/>
        <w:ind w:firstLine="480" w:firstLineChars="200"/>
        <w:jc w:val="left"/>
        <w:rPr>
          <w:rFonts w:hint="eastAsia" w:ascii="宋体" w:hAnsi="宋体" w:cs="宋体"/>
          <w:sz w:val="24"/>
        </w:rPr>
      </w:pPr>
      <w:r>
        <w:rPr>
          <w:rFonts w:hint="eastAsia" w:ascii="宋体" w:hAnsi="宋体" w:cs="宋体"/>
          <w:sz w:val="24"/>
        </w:rPr>
        <w:t>2、踏勘现场</w:t>
      </w:r>
    </w:p>
    <w:p>
      <w:pPr>
        <w:spacing w:line="460" w:lineRule="exact"/>
        <w:ind w:firstLine="480" w:firstLineChars="200"/>
        <w:jc w:val="left"/>
        <w:rPr>
          <w:rFonts w:hint="eastAsia" w:ascii="宋体" w:hAnsi="宋体" w:cs="宋体"/>
          <w:sz w:val="24"/>
        </w:rPr>
      </w:pPr>
      <w:r>
        <w:rPr>
          <w:rFonts w:hint="eastAsia" w:ascii="宋体" w:hAnsi="宋体" w:cs="宋体"/>
          <w:sz w:val="24"/>
        </w:rPr>
        <w:t>（1）招标人将不组织投标人进行踏勘现场，投标人如认为有必要可自行前往项目所在地对项目现场及周围环境进行踏勘，以便获取须自己负责的有关编制磋商</w:t>
      </w:r>
      <w:r>
        <w:rPr>
          <w:rFonts w:hint="eastAsia" w:ascii="宋体" w:hAnsi="宋体" w:cs="宋体"/>
          <w:bCs/>
          <w:sz w:val="24"/>
        </w:rPr>
        <w:t>响应</w:t>
      </w:r>
      <w:r>
        <w:rPr>
          <w:rFonts w:hint="eastAsia" w:ascii="宋体" w:hAnsi="宋体" w:cs="宋体"/>
          <w:sz w:val="24"/>
        </w:rPr>
        <w:t>文件和签署合同所需的所有资料。踏勘现场所发生的费用由投标人自己承担；</w:t>
      </w:r>
    </w:p>
    <w:p>
      <w:pPr>
        <w:spacing w:line="460" w:lineRule="exact"/>
        <w:ind w:firstLine="480" w:firstLineChars="200"/>
        <w:jc w:val="left"/>
        <w:rPr>
          <w:rFonts w:hint="eastAsia" w:ascii="宋体" w:hAnsi="宋体" w:cs="宋体"/>
          <w:sz w:val="24"/>
        </w:rPr>
      </w:pPr>
      <w:r>
        <w:rPr>
          <w:rFonts w:hint="eastAsia" w:ascii="宋体" w:hAnsi="宋体" w:cs="宋体"/>
          <w:sz w:val="24"/>
        </w:rPr>
        <w:t>（2）招标人向投标人提供的有关项目的资料和数据，是招标人现有的能使投标人利用的资料。招标人对投标人由此而做出的推论、理解和结论概不负责；</w:t>
      </w:r>
    </w:p>
    <w:p>
      <w:pPr>
        <w:spacing w:line="460" w:lineRule="exact"/>
        <w:ind w:firstLine="480" w:firstLineChars="200"/>
        <w:jc w:val="left"/>
        <w:rPr>
          <w:rFonts w:hint="eastAsia" w:ascii="宋体" w:hAnsi="宋体" w:cs="宋体"/>
          <w:sz w:val="24"/>
        </w:rPr>
      </w:pPr>
      <w:r>
        <w:rPr>
          <w:rFonts w:hint="eastAsia" w:ascii="宋体" w:hAnsi="宋体" w:cs="宋体"/>
          <w:sz w:val="24"/>
        </w:rPr>
        <w:t>（3）投标人及其人员经过招标人的允许，可为踏勘目的进入招标人的项目现场，但投标人及其人员不得因此使招标人及其人员承担有关的责任和蒙受损失。投标人并应对由此次踏勘现场而造成的各种损失、损害而产生的费用和开支承担责任。</w:t>
      </w:r>
    </w:p>
    <w:p>
      <w:pPr>
        <w:pStyle w:val="4"/>
        <w:spacing w:line="460" w:lineRule="exact"/>
        <w:ind w:firstLine="480"/>
        <w:rPr>
          <w:rFonts w:hint="eastAsia" w:hAnsi="宋体" w:cs="宋体"/>
        </w:rPr>
      </w:pPr>
      <w:bookmarkStart w:id="10" w:name="_Toc40289563"/>
      <w:bookmarkStart w:id="11" w:name="_Toc314062387"/>
      <w:r>
        <w:rPr>
          <w:rFonts w:hint="eastAsia" w:hAnsi="宋体" w:cs="宋体"/>
        </w:rPr>
        <w:t>二、竞争性磋商文件</w:t>
      </w:r>
      <w:bookmarkEnd w:id="10"/>
      <w:bookmarkEnd w:id="11"/>
    </w:p>
    <w:p>
      <w:pPr>
        <w:spacing w:line="460" w:lineRule="exact"/>
        <w:jc w:val="left"/>
        <w:rPr>
          <w:rFonts w:hint="eastAsia" w:ascii="宋体" w:hAnsi="宋体" w:cs="宋体"/>
          <w:sz w:val="24"/>
        </w:rPr>
      </w:pPr>
      <w:r>
        <w:rPr>
          <w:rFonts w:hint="eastAsia" w:ascii="宋体" w:hAnsi="宋体" w:cs="宋体"/>
          <w:sz w:val="24"/>
        </w:rPr>
        <w:t xml:space="preserve">   （一）竞争性磋商文件的构成（竞争性磋商文件除以下内容外，招标人在磋商期间发出的答疑纪要和其他补充修改函件，均是竞争性磋商文件的组成部分，对投标人起约束作用）</w:t>
      </w:r>
    </w:p>
    <w:p>
      <w:pPr>
        <w:spacing w:line="360" w:lineRule="auto"/>
        <w:ind w:firstLine="450"/>
        <w:rPr>
          <w:rFonts w:hint="eastAsia" w:ascii="宋体" w:hAnsi="宋体" w:cs="宋体"/>
          <w:sz w:val="24"/>
        </w:rPr>
      </w:pPr>
      <w:r>
        <w:rPr>
          <w:rFonts w:hint="eastAsia" w:ascii="宋体" w:hAnsi="宋体" w:cs="宋体"/>
          <w:sz w:val="24"/>
        </w:rPr>
        <w:t>1、竞争性磋商须知及前附表</w:t>
      </w:r>
    </w:p>
    <w:p>
      <w:pPr>
        <w:spacing w:line="360" w:lineRule="auto"/>
        <w:ind w:firstLine="450"/>
        <w:rPr>
          <w:rFonts w:hint="eastAsia" w:ascii="宋体" w:hAnsi="宋体" w:cs="宋体"/>
          <w:sz w:val="24"/>
        </w:rPr>
      </w:pPr>
      <w:r>
        <w:rPr>
          <w:rFonts w:hint="eastAsia" w:ascii="宋体" w:hAnsi="宋体" w:cs="宋体"/>
          <w:sz w:val="24"/>
        </w:rPr>
        <w:t>2、竞争性磋商项目内容及要求</w:t>
      </w:r>
    </w:p>
    <w:p>
      <w:pPr>
        <w:spacing w:line="360" w:lineRule="auto"/>
        <w:ind w:firstLine="480"/>
        <w:rPr>
          <w:rFonts w:hint="eastAsia" w:ascii="宋体" w:hAnsi="宋体" w:cs="宋体"/>
          <w:sz w:val="24"/>
        </w:rPr>
      </w:pPr>
      <w:r>
        <w:rPr>
          <w:rFonts w:hint="eastAsia" w:ascii="宋体" w:hAnsi="宋体" w:cs="宋体"/>
          <w:sz w:val="24"/>
        </w:rPr>
        <w:t>3、合同主要条款</w:t>
      </w:r>
    </w:p>
    <w:p>
      <w:pPr>
        <w:spacing w:line="360" w:lineRule="auto"/>
        <w:ind w:firstLine="480"/>
        <w:rPr>
          <w:rFonts w:hint="eastAsia" w:ascii="宋体" w:hAnsi="宋体" w:cs="宋体"/>
          <w:sz w:val="24"/>
        </w:rPr>
      </w:pPr>
      <w:r>
        <w:rPr>
          <w:rFonts w:hint="eastAsia" w:ascii="宋体" w:hAnsi="宋体" w:cs="宋体"/>
          <w:sz w:val="24"/>
        </w:rPr>
        <w:t>4、响应文件格式</w:t>
      </w:r>
    </w:p>
    <w:p>
      <w:pPr>
        <w:spacing w:line="360" w:lineRule="auto"/>
        <w:ind w:firstLine="480"/>
        <w:rPr>
          <w:rFonts w:hint="eastAsia" w:ascii="宋体" w:hAnsi="宋体" w:cs="宋体"/>
          <w:sz w:val="24"/>
        </w:rPr>
      </w:pPr>
      <w:r>
        <w:rPr>
          <w:rFonts w:hint="eastAsia" w:ascii="宋体" w:hAnsi="宋体" w:cs="宋体"/>
          <w:sz w:val="24"/>
        </w:rPr>
        <w:t>5、评审标准</w:t>
      </w:r>
      <w:r>
        <w:rPr>
          <w:rFonts w:hint="eastAsia" w:ascii="宋体" w:hAnsi="宋体" w:cs="宋体"/>
          <w:sz w:val="24"/>
        </w:rPr>
        <w:tab/>
      </w:r>
      <w:r>
        <w:rPr>
          <w:rFonts w:hint="eastAsia" w:ascii="宋体" w:hAnsi="宋体" w:cs="宋体"/>
          <w:sz w:val="24"/>
        </w:rPr>
        <w:tab/>
      </w:r>
    </w:p>
    <w:p>
      <w:pPr>
        <w:spacing w:line="360" w:lineRule="auto"/>
        <w:ind w:firstLine="480"/>
        <w:rPr>
          <w:rFonts w:hint="eastAsia" w:ascii="宋体" w:hAnsi="宋体" w:cs="宋体"/>
          <w:sz w:val="24"/>
        </w:rPr>
      </w:pPr>
      <w:r>
        <w:rPr>
          <w:rFonts w:hint="eastAsia" w:ascii="宋体" w:hAnsi="宋体" w:cs="宋体"/>
          <w:sz w:val="24"/>
        </w:rPr>
        <w:t>6、补遗书及答疑纪要（如有）</w:t>
      </w:r>
    </w:p>
    <w:p>
      <w:pPr>
        <w:spacing w:line="460" w:lineRule="exact"/>
        <w:jc w:val="left"/>
        <w:rPr>
          <w:rFonts w:hint="eastAsia" w:ascii="宋体" w:hAnsi="宋体" w:cs="宋体"/>
          <w:sz w:val="24"/>
        </w:rPr>
      </w:pPr>
      <w:r>
        <w:rPr>
          <w:rFonts w:hint="eastAsia" w:ascii="宋体" w:hAnsi="宋体" w:cs="宋体"/>
          <w:sz w:val="24"/>
        </w:rPr>
        <w:t xml:space="preserve">    （二）竞争性磋商文件的澄清</w:t>
      </w:r>
    </w:p>
    <w:p>
      <w:pPr>
        <w:spacing w:line="460" w:lineRule="exact"/>
        <w:ind w:firstLine="480" w:firstLineChars="200"/>
        <w:jc w:val="left"/>
        <w:rPr>
          <w:rFonts w:hint="eastAsia" w:ascii="宋体" w:hAnsi="宋体" w:cs="宋体"/>
          <w:sz w:val="24"/>
        </w:rPr>
      </w:pPr>
      <w:r>
        <w:rPr>
          <w:rFonts w:hint="eastAsia" w:ascii="宋体" w:hAnsi="宋体" w:cs="宋体"/>
          <w:sz w:val="24"/>
        </w:rPr>
        <w:t>1、投标人获取竞争性磋商文件后，应仔细检查竞争性磋商文件的所有内容，投标人同时应认真审阅竞争性磋商文件中所有的事项、格式、条款和规范要求等，如果投标人的磋商</w:t>
      </w:r>
      <w:r>
        <w:rPr>
          <w:rFonts w:hint="eastAsia" w:ascii="宋体" w:hAnsi="宋体" w:cs="宋体"/>
          <w:bCs/>
          <w:sz w:val="24"/>
        </w:rPr>
        <w:t>响应</w:t>
      </w:r>
      <w:r>
        <w:rPr>
          <w:rFonts w:hint="eastAsia" w:ascii="宋体" w:hAnsi="宋体" w:cs="宋体"/>
          <w:sz w:val="24"/>
        </w:rPr>
        <w:t>文件没有按照竞争性磋商文件要求提交全部资料或者磋商</w:t>
      </w:r>
      <w:r>
        <w:rPr>
          <w:rFonts w:hint="eastAsia" w:ascii="宋体" w:hAnsi="宋体" w:cs="宋体"/>
          <w:bCs/>
          <w:sz w:val="24"/>
        </w:rPr>
        <w:t>响应</w:t>
      </w:r>
      <w:r>
        <w:rPr>
          <w:rFonts w:hint="eastAsia" w:ascii="宋体" w:hAnsi="宋体" w:cs="宋体"/>
          <w:sz w:val="24"/>
        </w:rPr>
        <w:t>文件没有对竞争性磋商文件做出实质性响应，其风险应由投标人自行承担，根据有关条款规定，其磋商文件有可能被拒绝；</w:t>
      </w:r>
    </w:p>
    <w:p>
      <w:pPr>
        <w:spacing w:line="460" w:lineRule="exact"/>
        <w:ind w:firstLine="480" w:firstLineChars="200"/>
        <w:jc w:val="left"/>
        <w:rPr>
          <w:rFonts w:hint="eastAsia" w:ascii="宋体" w:hAnsi="宋体" w:cs="宋体"/>
          <w:sz w:val="24"/>
        </w:rPr>
      </w:pPr>
      <w:r>
        <w:rPr>
          <w:rFonts w:hint="eastAsia" w:ascii="宋体" w:hAnsi="宋体" w:cs="宋体"/>
          <w:sz w:val="24"/>
        </w:rPr>
        <w:t>2、投标人在收到竞争性磋商文件后，对竞争性磋商文件任何部分若有任何疑问，任何要求澄清竞争性磋商文件的投标人，均应在提交磋商</w:t>
      </w:r>
      <w:r>
        <w:rPr>
          <w:rFonts w:hint="eastAsia" w:ascii="宋体" w:hAnsi="宋体" w:cs="宋体"/>
          <w:bCs/>
          <w:sz w:val="24"/>
        </w:rPr>
        <w:t>响应</w:t>
      </w:r>
      <w:r>
        <w:rPr>
          <w:rFonts w:hint="eastAsia" w:ascii="宋体" w:hAnsi="宋体" w:cs="宋体"/>
          <w:sz w:val="24"/>
        </w:rPr>
        <w:t>文件的截止前5日内按竞争性磋商文件中载明的地址以书面形式通知招标代理机构；不论是招标人根据需要主动对竞争性磋商文件进行必要的澄清或是根据投标人的要求对竞争性磋商文件做出澄清，招标代理机构将视情况，</w:t>
      </w:r>
      <w:r>
        <w:rPr>
          <w:rFonts w:hint="eastAsia" w:ascii="宋体" w:hAnsi="宋体"/>
          <w:sz w:val="24"/>
        </w:rPr>
        <w:t>以书面形式通知投标单位，投标单位请随时关注，否则由此造成的损失由投标人自行承担。</w:t>
      </w:r>
      <w:r>
        <w:rPr>
          <w:rFonts w:hint="eastAsia" w:ascii="宋体" w:hAnsi="宋体" w:cs="宋体"/>
          <w:sz w:val="24"/>
        </w:rPr>
        <w:t>澄清记录作为竞争性磋商文件的组成部分，对投标人起约束作用。</w:t>
      </w:r>
    </w:p>
    <w:p>
      <w:pPr>
        <w:spacing w:line="460" w:lineRule="exact"/>
        <w:ind w:firstLine="480" w:firstLineChars="200"/>
        <w:jc w:val="left"/>
        <w:rPr>
          <w:rFonts w:hint="eastAsia" w:ascii="宋体" w:hAnsi="宋体" w:cs="宋体"/>
          <w:sz w:val="24"/>
        </w:rPr>
      </w:pPr>
      <w:r>
        <w:rPr>
          <w:rFonts w:hint="eastAsia" w:ascii="宋体" w:hAnsi="宋体" w:cs="宋体"/>
          <w:sz w:val="24"/>
        </w:rPr>
        <w:t>3、投标人在规定时间未提出疑问的，视作默认对本次磋商过程中竞争性磋商文件或清单无疑问，招标人对其提出的问题可以不作解释。</w:t>
      </w:r>
    </w:p>
    <w:p>
      <w:pPr>
        <w:spacing w:line="460" w:lineRule="exact"/>
        <w:jc w:val="left"/>
        <w:rPr>
          <w:rFonts w:hint="eastAsia" w:ascii="宋体" w:hAnsi="宋体" w:cs="宋体"/>
          <w:sz w:val="24"/>
        </w:rPr>
      </w:pPr>
      <w:r>
        <w:rPr>
          <w:rFonts w:hint="eastAsia" w:ascii="宋体" w:hAnsi="宋体" w:cs="宋体"/>
          <w:sz w:val="24"/>
        </w:rPr>
        <w:t xml:space="preserve">  （三）竞争性磋商文件的修改</w:t>
      </w:r>
    </w:p>
    <w:p>
      <w:pPr>
        <w:spacing w:line="460" w:lineRule="exact"/>
        <w:ind w:firstLine="480" w:firstLineChars="200"/>
        <w:jc w:val="left"/>
        <w:rPr>
          <w:rFonts w:hint="eastAsia" w:ascii="宋体" w:hAnsi="宋体" w:cs="宋体"/>
          <w:sz w:val="24"/>
        </w:rPr>
      </w:pPr>
      <w:r>
        <w:rPr>
          <w:rFonts w:hint="eastAsia" w:ascii="宋体" w:hAnsi="宋体" w:cs="宋体"/>
          <w:sz w:val="24"/>
        </w:rPr>
        <w:t>1、在磋商截止日期之前的任何时候，招标代理机构可主动或在解答投标人提出的澄清问题时对竞争性磋商文件以补遗书的形式进行修改；</w:t>
      </w:r>
    </w:p>
    <w:p>
      <w:pPr>
        <w:spacing w:line="460" w:lineRule="exact"/>
        <w:ind w:firstLine="480" w:firstLineChars="200"/>
        <w:jc w:val="left"/>
        <w:rPr>
          <w:rFonts w:hint="eastAsia" w:ascii="宋体" w:hAnsi="宋体" w:cs="宋体"/>
          <w:sz w:val="24"/>
        </w:rPr>
      </w:pPr>
      <w:r>
        <w:rPr>
          <w:rFonts w:hint="eastAsia" w:ascii="宋体" w:hAnsi="宋体" w:cs="宋体"/>
          <w:sz w:val="24"/>
        </w:rPr>
        <w:t>2、竞争性磋商文件的修改将以适当方式发布修改，对投标人具有约束力。投标人在接到上述通知后，应立即向招标代理机构回函确认；</w:t>
      </w:r>
    </w:p>
    <w:p>
      <w:pPr>
        <w:spacing w:line="460" w:lineRule="exact"/>
        <w:ind w:firstLine="480" w:firstLineChars="200"/>
        <w:jc w:val="left"/>
        <w:rPr>
          <w:rFonts w:hint="eastAsia" w:ascii="宋体" w:hAnsi="宋体" w:cs="宋体"/>
          <w:sz w:val="24"/>
        </w:rPr>
      </w:pPr>
      <w:r>
        <w:rPr>
          <w:rFonts w:hint="eastAsia" w:ascii="宋体" w:hAnsi="宋体" w:cs="宋体"/>
          <w:sz w:val="24"/>
        </w:rPr>
        <w:t>3、竞争性磋商文件、竞争性磋商文件澄清（答疑）记录、竞争性磋商文件修改补充通知内容均以书面明确的内容为准。当竞争性磋商文件、修改补充通知、澄清（答疑）记录内容相互矛盾时，以最后发出的通知（纪要）或修改文件为准；</w:t>
      </w:r>
    </w:p>
    <w:p>
      <w:pPr>
        <w:spacing w:line="460" w:lineRule="exact"/>
        <w:ind w:firstLine="480" w:firstLineChars="200"/>
        <w:jc w:val="left"/>
        <w:rPr>
          <w:rFonts w:hint="eastAsia" w:ascii="宋体" w:hAnsi="宋体" w:cs="宋体"/>
          <w:sz w:val="24"/>
        </w:rPr>
      </w:pPr>
      <w:r>
        <w:rPr>
          <w:rFonts w:hint="eastAsia" w:ascii="宋体" w:hAnsi="宋体" w:cs="宋体"/>
          <w:sz w:val="24"/>
        </w:rPr>
        <w:t>4、为使投标人编写磋商</w:t>
      </w:r>
      <w:r>
        <w:rPr>
          <w:rFonts w:hint="eastAsia" w:ascii="宋体" w:hAnsi="宋体" w:cs="宋体"/>
          <w:bCs/>
          <w:sz w:val="24"/>
        </w:rPr>
        <w:t>响应</w:t>
      </w:r>
      <w:r>
        <w:rPr>
          <w:rFonts w:hint="eastAsia" w:ascii="宋体" w:hAnsi="宋体" w:cs="宋体"/>
          <w:sz w:val="24"/>
        </w:rPr>
        <w:t>文件时有充分时间对竞争性磋商文件的修改部分进行研究，招标代理机构可以酌情延后投标截止时间。</w:t>
      </w:r>
    </w:p>
    <w:p>
      <w:pPr>
        <w:pStyle w:val="4"/>
        <w:spacing w:line="460" w:lineRule="exact"/>
        <w:ind w:firstLine="0" w:firstLineChars="0"/>
        <w:rPr>
          <w:rFonts w:hint="eastAsia" w:hAnsi="宋体" w:cs="宋体"/>
        </w:rPr>
      </w:pPr>
      <w:bookmarkStart w:id="12" w:name="_Toc40289564"/>
      <w:r>
        <w:rPr>
          <w:rFonts w:hint="eastAsia" w:hAnsi="宋体" w:cs="宋体"/>
        </w:rPr>
        <w:t xml:space="preserve">    三、磋商申请文件的编制</w:t>
      </w:r>
      <w:bookmarkEnd w:id="12"/>
    </w:p>
    <w:p>
      <w:pPr>
        <w:spacing w:line="460" w:lineRule="exact"/>
        <w:ind w:firstLine="480" w:firstLineChars="200"/>
        <w:jc w:val="left"/>
        <w:rPr>
          <w:rFonts w:hint="eastAsia" w:ascii="宋体" w:hAnsi="宋体" w:cs="宋体"/>
          <w:sz w:val="24"/>
        </w:rPr>
      </w:pPr>
      <w:r>
        <w:rPr>
          <w:rFonts w:hint="eastAsia" w:ascii="宋体" w:hAnsi="宋体" w:cs="宋体"/>
          <w:sz w:val="24"/>
        </w:rPr>
        <w:t>投标人应认真审阅本竞争性磋商文件，并在接受全部条款内容后，方可参加磋商。投标人由于对竞争性磋商文件的任何误解和忽略造成损失的责任，由投标人自己负责。投标人的磋商</w:t>
      </w:r>
      <w:r>
        <w:rPr>
          <w:rFonts w:hint="eastAsia" w:ascii="宋体" w:hAnsi="宋体" w:cs="宋体"/>
          <w:bCs/>
          <w:sz w:val="24"/>
        </w:rPr>
        <w:t>响应</w:t>
      </w:r>
      <w:r>
        <w:rPr>
          <w:rFonts w:hint="eastAsia" w:ascii="宋体" w:hAnsi="宋体" w:cs="宋体"/>
          <w:sz w:val="24"/>
        </w:rPr>
        <w:t>文件应包括下列内容：</w:t>
      </w:r>
    </w:p>
    <w:p>
      <w:pPr>
        <w:spacing w:line="460" w:lineRule="exact"/>
        <w:jc w:val="left"/>
        <w:rPr>
          <w:rFonts w:hint="eastAsia" w:ascii="宋体" w:hAnsi="宋体" w:cs="宋体"/>
          <w:sz w:val="24"/>
        </w:rPr>
      </w:pPr>
      <w:r>
        <w:rPr>
          <w:rFonts w:hint="eastAsia" w:ascii="宋体" w:hAnsi="宋体" w:cs="宋体"/>
          <w:sz w:val="24"/>
        </w:rPr>
        <w:t xml:space="preserve">   （一）磋商</w:t>
      </w:r>
      <w:r>
        <w:rPr>
          <w:rFonts w:hint="eastAsia" w:ascii="宋体" w:hAnsi="宋体" w:cs="宋体"/>
          <w:bCs/>
          <w:sz w:val="24"/>
        </w:rPr>
        <w:t>响应</w:t>
      </w:r>
      <w:r>
        <w:rPr>
          <w:rFonts w:hint="eastAsia" w:ascii="宋体" w:hAnsi="宋体" w:cs="宋体"/>
          <w:sz w:val="24"/>
        </w:rPr>
        <w:t>文件的语言</w:t>
      </w:r>
    </w:p>
    <w:p>
      <w:pPr>
        <w:spacing w:line="460" w:lineRule="exact"/>
        <w:ind w:firstLine="480" w:firstLineChars="200"/>
        <w:jc w:val="left"/>
        <w:rPr>
          <w:rFonts w:hint="eastAsia" w:ascii="宋体" w:hAnsi="宋体" w:cs="宋体"/>
          <w:sz w:val="24"/>
        </w:rPr>
      </w:pPr>
      <w:r>
        <w:rPr>
          <w:rFonts w:hint="eastAsia" w:ascii="宋体" w:hAnsi="宋体" w:cs="宋体"/>
          <w:sz w:val="24"/>
        </w:rPr>
        <w:t>投标人提交的磋商</w:t>
      </w:r>
      <w:r>
        <w:rPr>
          <w:rFonts w:hint="eastAsia" w:ascii="宋体" w:hAnsi="宋体" w:cs="宋体"/>
          <w:bCs/>
          <w:sz w:val="24"/>
        </w:rPr>
        <w:t>响应</w:t>
      </w:r>
      <w:r>
        <w:rPr>
          <w:rFonts w:hint="eastAsia" w:ascii="宋体" w:hAnsi="宋体" w:cs="宋体"/>
          <w:sz w:val="24"/>
        </w:rPr>
        <w:t>文件以及与招标代理机构和招标人就有关磋商的所有来往函件均应使用简体中文。</w:t>
      </w:r>
    </w:p>
    <w:p>
      <w:pPr>
        <w:spacing w:line="460" w:lineRule="exact"/>
        <w:jc w:val="left"/>
        <w:rPr>
          <w:rFonts w:hint="eastAsia" w:ascii="宋体" w:hAnsi="宋体" w:cs="宋体"/>
          <w:sz w:val="24"/>
        </w:rPr>
      </w:pPr>
      <w:r>
        <w:rPr>
          <w:rFonts w:hint="eastAsia" w:ascii="宋体" w:hAnsi="宋体" w:cs="宋体"/>
          <w:sz w:val="24"/>
        </w:rPr>
        <w:t xml:space="preserve">   （二）磋商货币</w:t>
      </w:r>
    </w:p>
    <w:p>
      <w:pPr>
        <w:spacing w:line="460" w:lineRule="exact"/>
        <w:ind w:firstLine="480" w:firstLineChars="200"/>
        <w:jc w:val="left"/>
        <w:rPr>
          <w:rFonts w:hint="eastAsia" w:ascii="宋体" w:hAnsi="宋体" w:cs="宋体"/>
          <w:sz w:val="24"/>
        </w:rPr>
      </w:pPr>
      <w:r>
        <w:rPr>
          <w:rFonts w:hint="eastAsia" w:ascii="宋体" w:hAnsi="宋体" w:cs="宋体"/>
          <w:sz w:val="24"/>
        </w:rPr>
        <w:t>本次竞争性磋商用人民币报价。</w:t>
      </w:r>
    </w:p>
    <w:p>
      <w:pPr>
        <w:spacing w:line="460" w:lineRule="exact"/>
        <w:ind w:firstLine="480" w:firstLineChars="200"/>
        <w:jc w:val="left"/>
        <w:rPr>
          <w:rFonts w:hint="eastAsia" w:ascii="宋体" w:hAnsi="宋体" w:cs="宋体"/>
          <w:sz w:val="24"/>
        </w:rPr>
      </w:pPr>
      <w:r>
        <w:rPr>
          <w:rFonts w:hint="eastAsia" w:ascii="宋体" w:hAnsi="宋体" w:cs="宋体"/>
          <w:sz w:val="24"/>
        </w:rPr>
        <w:t>报价原则：</w:t>
      </w:r>
    </w:p>
    <w:p>
      <w:pPr>
        <w:spacing w:line="460" w:lineRule="exact"/>
        <w:ind w:firstLine="480" w:firstLineChars="200"/>
        <w:jc w:val="left"/>
        <w:rPr>
          <w:rFonts w:hint="eastAsia" w:ascii="宋体" w:hAnsi="宋体" w:cs="宋体"/>
          <w:sz w:val="24"/>
        </w:rPr>
      </w:pPr>
      <w:r>
        <w:rPr>
          <w:rFonts w:hint="eastAsia" w:ascii="宋体" w:hAnsi="宋体" w:cs="宋体"/>
          <w:sz w:val="24"/>
        </w:rPr>
        <w:t>1、投标人必须按本竞争性磋商文件指定格式正确填写各种价格单；</w:t>
      </w:r>
    </w:p>
    <w:p>
      <w:pPr>
        <w:spacing w:line="460" w:lineRule="exact"/>
        <w:ind w:firstLine="480" w:firstLineChars="200"/>
        <w:jc w:val="left"/>
        <w:rPr>
          <w:rFonts w:hint="eastAsia" w:ascii="宋体" w:hAnsi="宋体" w:cs="宋体"/>
          <w:sz w:val="24"/>
        </w:rPr>
      </w:pPr>
      <w:r>
        <w:rPr>
          <w:rFonts w:hint="eastAsia" w:ascii="宋体" w:hAnsi="宋体" w:cs="宋体"/>
          <w:sz w:val="24"/>
        </w:rPr>
        <w:t>2、每个项目的报价必须是唯一的。如出现不唯一或书写错误，报价将视为无效报价；</w:t>
      </w:r>
    </w:p>
    <w:p>
      <w:pPr>
        <w:spacing w:line="460" w:lineRule="exact"/>
        <w:ind w:firstLine="480" w:firstLineChars="200"/>
        <w:jc w:val="left"/>
        <w:rPr>
          <w:rFonts w:hint="eastAsia" w:ascii="宋体" w:hAnsi="宋体" w:cs="宋体"/>
          <w:sz w:val="24"/>
        </w:rPr>
      </w:pPr>
      <w:r>
        <w:rPr>
          <w:rFonts w:hint="eastAsia" w:ascii="宋体" w:hAnsi="宋体" w:cs="宋体"/>
          <w:sz w:val="24"/>
        </w:rPr>
        <w:t>3、报价栏项目中如出现数字“0”，视报价为零；如出现空白，视为未响应；</w:t>
      </w:r>
    </w:p>
    <w:p>
      <w:pPr>
        <w:spacing w:line="460" w:lineRule="exact"/>
        <w:ind w:firstLine="480" w:firstLineChars="200"/>
        <w:jc w:val="left"/>
        <w:rPr>
          <w:rFonts w:hint="eastAsia" w:ascii="宋体" w:hAnsi="宋体" w:cs="宋体"/>
          <w:sz w:val="24"/>
        </w:rPr>
      </w:pPr>
      <w:r>
        <w:rPr>
          <w:rFonts w:hint="eastAsia" w:ascii="宋体" w:hAnsi="宋体" w:cs="宋体"/>
          <w:sz w:val="24"/>
        </w:rPr>
        <w:t>4、投标报价包含完成本项目</w:t>
      </w:r>
      <w:bookmarkStart w:id="26" w:name="_GoBack"/>
      <w:bookmarkEnd w:id="26"/>
      <w:r>
        <w:rPr>
          <w:rFonts w:hint="eastAsia" w:ascii="宋体" w:hAnsi="宋体" w:cs="宋体"/>
          <w:sz w:val="24"/>
        </w:rPr>
        <w:t>招标、安装及人工费等费用，投标单位报价时应充分考虑。</w:t>
      </w:r>
    </w:p>
    <w:p>
      <w:pPr>
        <w:spacing w:line="460" w:lineRule="exact"/>
        <w:jc w:val="left"/>
        <w:rPr>
          <w:rFonts w:hint="eastAsia" w:ascii="宋体" w:hAnsi="宋体" w:cs="宋体"/>
          <w:sz w:val="24"/>
        </w:rPr>
      </w:pPr>
      <w:r>
        <w:rPr>
          <w:rFonts w:hint="eastAsia" w:ascii="宋体" w:hAnsi="宋体" w:cs="宋体"/>
          <w:sz w:val="24"/>
        </w:rPr>
        <w:t xml:space="preserve">   （三）磋商</w:t>
      </w:r>
      <w:r>
        <w:rPr>
          <w:rFonts w:hint="eastAsia" w:ascii="宋体" w:hAnsi="宋体" w:cs="宋体"/>
          <w:bCs/>
          <w:sz w:val="24"/>
        </w:rPr>
        <w:t>响应</w:t>
      </w:r>
      <w:r>
        <w:rPr>
          <w:rFonts w:hint="eastAsia" w:ascii="宋体" w:hAnsi="宋体" w:cs="宋体"/>
          <w:sz w:val="24"/>
        </w:rPr>
        <w:t>文件的构成</w:t>
      </w:r>
    </w:p>
    <w:p>
      <w:pPr>
        <w:spacing w:line="460" w:lineRule="exact"/>
        <w:ind w:firstLine="480" w:firstLineChars="200"/>
        <w:jc w:val="left"/>
        <w:rPr>
          <w:rFonts w:hint="eastAsia" w:ascii="宋体" w:hAnsi="宋体" w:cs="宋体"/>
          <w:sz w:val="24"/>
        </w:rPr>
      </w:pPr>
      <w:r>
        <w:rPr>
          <w:rFonts w:hint="eastAsia" w:ascii="宋体" w:hAnsi="宋体" w:cs="宋体"/>
          <w:sz w:val="24"/>
        </w:rPr>
        <w:t>投标人编写的磋商</w:t>
      </w:r>
      <w:r>
        <w:rPr>
          <w:rFonts w:hint="eastAsia" w:ascii="宋体" w:hAnsi="宋体" w:cs="宋体"/>
          <w:bCs/>
          <w:sz w:val="24"/>
        </w:rPr>
        <w:t>响应</w:t>
      </w:r>
      <w:r>
        <w:rPr>
          <w:rFonts w:hint="eastAsia" w:ascii="宋体" w:hAnsi="宋体" w:cs="宋体"/>
          <w:sz w:val="24"/>
        </w:rPr>
        <w:t>文件应包括下列内容：</w:t>
      </w:r>
    </w:p>
    <w:p>
      <w:pPr>
        <w:spacing w:line="460" w:lineRule="exact"/>
        <w:ind w:firstLine="960" w:firstLineChars="400"/>
        <w:jc w:val="left"/>
        <w:rPr>
          <w:rFonts w:hint="eastAsia" w:ascii="宋体" w:hAnsi="宋体" w:cs="宋体"/>
          <w:sz w:val="24"/>
        </w:rPr>
      </w:pPr>
      <w:r>
        <w:rPr>
          <w:rFonts w:hint="eastAsia" w:ascii="宋体" w:hAnsi="宋体" w:cs="宋体"/>
          <w:sz w:val="24"/>
        </w:rPr>
        <w:t>磋商响应文件密封袋封面</w:t>
      </w:r>
    </w:p>
    <w:p>
      <w:pPr>
        <w:spacing w:line="460" w:lineRule="exact"/>
        <w:ind w:firstLine="960" w:firstLineChars="400"/>
        <w:jc w:val="left"/>
        <w:rPr>
          <w:rFonts w:hint="eastAsia" w:ascii="宋体" w:hAnsi="宋体" w:cs="宋体"/>
          <w:sz w:val="24"/>
        </w:rPr>
      </w:pPr>
      <w:r>
        <w:rPr>
          <w:rFonts w:hint="eastAsia" w:ascii="宋体" w:hAnsi="宋体" w:cs="宋体"/>
          <w:sz w:val="24"/>
        </w:rPr>
        <w:t>磋商响应文件封面</w:t>
      </w:r>
    </w:p>
    <w:p>
      <w:pPr>
        <w:spacing w:line="460" w:lineRule="exact"/>
        <w:ind w:firstLine="960" w:firstLineChars="400"/>
        <w:jc w:val="left"/>
        <w:rPr>
          <w:rFonts w:hint="eastAsia" w:ascii="宋体" w:hAnsi="宋体" w:cs="宋体"/>
          <w:sz w:val="24"/>
        </w:rPr>
      </w:pPr>
      <w:r>
        <w:rPr>
          <w:rFonts w:hint="eastAsia" w:ascii="宋体" w:hAnsi="宋体" w:cs="宋体"/>
          <w:sz w:val="24"/>
        </w:rPr>
        <w:t>一、法定代表人身份证明书</w:t>
      </w:r>
    </w:p>
    <w:p>
      <w:pPr>
        <w:spacing w:line="460" w:lineRule="exact"/>
        <w:ind w:firstLine="960" w:firstLineChars="400"/>
        <w:jc w:val="left"/>
        <w:rPr>
          <w:rFonts w:hint="eastAsia" w:ascii="宋体" w:hAnsi="宋体" w:cs="宋体"/>
          <w:sz w:val="24"/>
        </w:rPr>
      </w:pPr>
      <w:r>
        <w:rPr>
          <w:rFonts w:hint="eastAsia" w:ascii="宋体" w:hAnsi="宋体" w:cs="宋体"/>
          <w:sz w:val="24"/>
        </w:rPr>
        <w:t>二、法定代表人授权委托书</w:t>
      </w:r>
    </w:p>
    <w:p>
      <w:pPr>
        <w:spacing w:line="460" w:lineRule="exact"/>
        <w:ind w:firstLine="960" w:firstLineChars="400"/>
        <w:jc w:val="left"/>
        <w:rPr>
          <w:rFonts w:hint="eastAsia" w:ascii="宋体" w:hAnsi="宋体" w:cs="宋体"/>
          <w:sz w:val="24"/>
        </w:rPr>
      </w:pPr>
      <w:r>
        <w:rPr>
          <w:rFonts w:hint="eastAsia" w:ascii="宋体" w:hAnsi="宋体" w:cs="宋体"/>
          <w:sz w:val="24"/>
        </w:rPr>
        <w:t>三、磋商函</w:t>
      </w:r>
    </w:p>
    <w:p>
      <w:pPr>
        <w:spacing w:line="460" w:lineRule="exact"/>
        <w:ind w:firstLine="960" w:firstLineChars="400"/>
        <w:jc w:val="left"/>
        <w:rPr>
          <w:rFonts w:hint="eastAsia" w:ascii="宋体" w:hAnsi="宋体" w:cs="宋体"/>
          <w:sz w:val="24"/>
        </w:rPr>
      </w:pPr>
      <w:r>
        <w:rPr>
          <w:rFonts w:hint="eastAsia" w:ascii="宋体" w:hAnsi="宋体" w:cs="宋体"/>
          <w:sz w:val="24"/>
        </w:rPr>
        <w:t>四、投标报价</w:t>
      </w:r>
    </w:p>
    <w:p>
      <w:pPr>
        <w:spacing w:line="460" w:lineRule="exact"/>
        <w:ind w:firstLine="960" w:firstLineChars="400"/>
        <w:jc w:val="left"/>
        <w:rPr>
          <w:rFonts w:hint="eastAsia" w:ascii="宋体" w:hAnsi="宋体" w:cs="宋体"/>
          <w:sz w:val="24"/>
        </w:rPr>
      </w:pPr>
      <w:r>
        <w:rPr>
          <w:rFonts w:hint="eastAsia" w:cs="宋体"/>
          <w:sz w:val="24"/>
          <w:lang w:eastAsia="zh-CN"/>
        </w:rPr>
        <w:t>五</w:t>
      </w:r>
      <w:r>
        <w:rPr>
          <w:rFonts w:hint="eastAsia" w:ascii="宋体" w:hAnsi="宋体" w:cs="宋体"/>
          <w:sz w:val="24"/>
        </w:rPr>
        <w:t>、投标人资质证明文件</w:t>
      </w:r>
    </w:p>
    <w:p>
      <w:pPr>
        <w:spacing w:line="460" w:lineRule="exact"/>
        <w:ind w:firstLine="960" w:firstLineChars="400"/>
        <w:jc w:val="left"/>
        <w:rPr>
          <w:rFonts w:hint="eastAsia" w:ascii="宋体" w:hAnsi="宋体" w:cs="宋体"/>
          <w:sz w:val="24"/>
        </w:rPr>
      </w:pPr>
      <w:r>
        <w:rPr>
          <w:rFonts w:hint="eastAsia" w:cs="宋体"/>
          <w:sz w:val="24"/>
          <w:lang w:eastAsia="zh-CN"/>
        </w:rPr>
        <w:t>六</w:t>
      </w:r>
      <w:r>
        <w:rPr>
          <w:rFonts w:hint="eastAsia" w:ascii="宋体" w:hAnsi="宋体" w:cs="宋体"/>
          <w:sz w:val="24"/>
        </w:rPr>
        <w:t>、技术文件</w:t>
      </w:r>
    </w:p>
    <w:p>
      <w:pPr>
        <w:spacing w:line="460" w:lineRule="exact"/>
        <w:ind w:firstLine="960" w:firstLineChars="400"/>
        <w:jc w:val="left"/>
        <w:rPr>
          <w:rFonts w:hint="eastAsia" w:ascii="宋体" w:hAnsi="宋体" w:cs="宋体"/>
          <w:sz w:val="24"/>
        </w:rPr>
      </w:pPr>
      <w:r>
        <w:rPr>
          <w:rFonts w:hint="eastAsia" w:cs="宋体"/>
          <w:sz w:val="24"/>
          <w:lang w:eastAsia="zh-CN"/>
        </w:rPr>
        <w:t>七</w:t>
      </w:r>
      <w:r>
        <w:rPr>
          <w:rFonts w:hint="eastAsia" w:ascii="宋体" w:hAnsi="宋体" w:cs="宋体"/>
          <w:sz w:val="24"/>
        </w:rPr>
        <w:t>、投标人需提供的其他资料</w:t>
      </w:r>
    </w:p>
    <w:p>
      <w:pPr>
        <w:spacing w:line="460" w:lineRule="exact"/>
        <w:ind w:firstLine="480" w:firstLineChars="200"/>
        <w:jc w:val="left"/>
        <w:rPr>
          <w:rFonts w:hint="eastAsia" w:ascii="宋体" w:hAnsi="宋体" w:cs="宋体"/>
          <w:sz w:val="24"/>
        </w:rPr>
      </w:pPr>
      <w:r>
        <w:rPr>
          <w:rFonts w:hint="eastAsia" w:ascii="宋体" w:hAnsi="宋体" w:cs="宋体"/>
          <w:sz w:val="24"/>
        </w:rPr>
        <w:t>（四）磋商</w:t>
      </w:r>
      <w:r>
        <w:rPr>
          <w:rFonts w:hint="eastAsia" w:ascii="宋体" w:hAnsi="宋体" w:cs="宋体"/>
          <w:bCs/>
          <w:sz w:val="24"/>
        </w:rPr>
        <w:t>响应</w:t>
      </w:r>
      <w:r>
        <w:rPr>
          <w:rFonts w:hint="eastAsia" w:ascii="宋体" w:hAnsi="宋体" w:cs="宋体"/>
          <w:sz w:val="24"/>
        </w:rPr>
        <w:t>文件的式样和签署</w:t>
      </w:r>
    </w:p>
    <w:p>
      <w:pPr>
        <w:spacing w:line="460" w:lineRule="exact"/>
        <w:ind w:firstLine="480" w:firstLineChars="200"/>
        <w:jc w:val="left"/>
        <w:rPr>
          <w:rFonts w:hint="eastAsia" w:ascii="宋体" w:hAnsi="宋体" w:cs="宋体"/>
          <w:sz w:val="24"/>
        </w:rPr>
      </w:pPr>
      <w:r>
        <w:rPr>
          <w:rFonts w:hint="eastAsia" w:ascii="宋体" w:hAnsi="宋体" w:cs="宋体"/>
          <w:sz w:val="24"/>
        </w:rPr>
        <w:t>1、磋商</w:t>
      </w:r>
      <w:r>
        <w:rPr>
          <w:rFonts w:hint="eastAsia" w:ascii="宋体" w:hAnsi="宋体" w:cs="宋体"/>
          <w:bCs/>
          <w:sz w:val="24"/>
        </w:rPr>
        <w:t>响应</w:t>
      </w:r>
      <w:r>
        <w:rPr>
          <w:rFonts w:hint="eastAsia" w:ascii="宋体" w:hAnsi="宋体" w:cs="宋体"/>
          <w:sz w:val="24"/>
        </w:rPr>
        <w:t>文件统一使用A4纸打印；</w:t>
      </w:r>
    </w:p>
    <w:p>
      <w:pPr>
        <w:spacing w:line="460" w:lineRule="exact"/>
        <w:ind w:firstLine="480" w:firstLineChars="200"/>
        <w:jc w:val="left"/>
        <w:rPr>
          <w:rFonts w:hint="eastAsia" w:ascii="宋体" w:hAnsi="宋体" w:cs="宋体"/>
          <w:sz w:val="24"/>
        </w:rPr>
      </w:pPr>
      <w:r>
        <w:rPr>
          <w:rFonts w:hint="eastAsia" w:ascii="宋体" w:hAnsi="宋体" w:cs="宋体"/>
          <w:sz w:val="24"/>
        </w:rPr>
        <w:t>2、磋商</w:t>
      </w:r>
      <w:r>
        <w:rPr>
          <w:rFonts w:hint="eastAsia" w:ascii="宋体" w:hAnsi="宋体" w:cs="宋体"/>
          <w:bCs/>
          <w:sz w:val="24"/>
        </w:rPr>
        <w:t>响应</w:t>
      </w:r>
      <w:r>
        <w:rPr>
          <w:rFonts w:hint="eastAsia" w:ascii="宋体" w:hAnsi="宋体" w:cs="宋体"/>
          <w:sz w:val="24"/>
        </w:rPr>
        <w:t>文件对竞争性磋商文件条款的响应情况，必须按竞争性磋商文件规定的格式填写；</w:t>
      </w:r>
    </w:p>
    <w:p>
      <w:pPr>
        <w:spacing w:line="460" w:lineRule="exact"/>
        <w:ind w:firstLine="480" w:firstLineChars="200"/>
        <w:jc w:val="left"/>
        <w:rPr>
          <w:rFonts w:hint="eastAsia" w:ascii="宋体" w:hAnsi="宋体" w:cs="宋体"/>
          <w:sz w:val="24"/>
        </w:rPr>
      </w:pPr>
      <w:r>
        <w:rPr>
          <w:rFonts w:hint="eastAsia" w:ascii="宋体" w:hAnsi="宋体" w:cs="宋体"/>
          <w:sz w:val="24"/>
        </w:rPr>
        <w:t>3、磋商</w:t>
      </w:r>
      <w:r>
        <w:rPr>
          <w:rFonts w:hint="eastAsia" w:ascii="宋体" w:hAnsi="宋体" w:cs="宋体"/>
          <w:bCs/>
          <w:sz w:val="24"/>
        </w:rPr>
        <w:t>响应</w:t>
      </w:r>
      <w:r>
        <w:rPr>
          <w:rFonts w:hint="eastAsia" w:ascii="宋体" w:hAnsi="宋体" w:cs="宋体"/>
          <w:sz w:val="24"/>
        </w:rPr>
        <w:t>文件必须采用A4纸装订成册，一律不得采用活页装订,必须胶装、必须编制目录及页码；</w:t>
      </w:r>
    </w:p>
    <w:p>
      <w:pPr>
        <w:spacing w:line="460" w:lineRule="exact"/>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b/>
          <w:bCs/>
          <w:sz w:val="24"/>
        </w:rPr>
        <w:t>磋商响应文件正本和副本须按竞争性磋商文件规定格式进行编制，磋商响应文件需编制目录及页码</w:t>
      </w:r>
      <w:r>
        <w:rPr>
          <w:rFonts w:hint="eastAsia" w:ascii="宋体" w:hAnsi="宋体" w:cs="宋体"/>
          <w:sz w:val="24"/>
        </w:rPr>
        <w:t>，否则将视为无效投标。磋商响应文件共</w:t>
      </w:r>
      <w:r>
        <w:rPr>
          <w:rFonts w:hint="eastAsia" w:ascii="宋体" w:hAnsi="宋体" w:cs="宋体"/>
          <w:sz w:val="24"/>
          <w:lang w:eastAsia="zh-CN"/>
        </w:rPr>
        <w:t>叁</w:t>
      </w:r>
      <w:r>
        <w:rPr>
          <w:rFonts w:hint="eastAsia" w:ascii="宋体" w:hAnsi="宋体" w:cs="宋体"/>
          <w:sz w:val="24"/>
        </w:rPr>
        <w:t>册，其中正本一册，副本</w:t>
      </w:r>
      <w:r>
        <w:rPr>
          <w:rFonts w:hint="eastAsia" w:ascii="宋体" w:hAnsi="宋体" w:cs="宋体"/>
          <w:sz w:val="24"/>
          <w:lang w:eastAsia="zh-CN"/>
        </w:rPr>
        <w:t>贰</w:t>
      </w:r>
      <w:r>
        <w:rPr>
          <w:rFonts w:hint="eastAsia" w:ascii="宋体" w:hAnsi="宋体" w:cs="宋体"/>
          <w:sz w:val="24"/>
        </w:rPr>
        <w:t>册。副本内容应与正本内容一致，不一致时以正本为准；</w:t>
      </w:r>
    </w:p>
    <w:p>
      <w:pPr>
        <w:spacing w:line="460" w:lineRule="exact"/>
        <w:ind w:firstLine="600" w:firstLineChars="250"/>
        <w:jc w:val="left"/>
        <w:rPr>
          <w:rFonts w:hint="eastAsia" w:ascii="宋体" w:hAnsi="宋体" w:cs="宋体"/>
          <w:sz w:val="24"/>
        </w:rPr>
      </w:pPr>
      <w:r>
        <w:rPr>
          <w:rFonts w:hint="eastAsia" w:ascii="宋体" w:hAnsi="宋体" w:cs="宋体"/>
          <w:sz w:val="24"/>
        </w:rPr>
        <w:t>5、磋商</w:t>
      </w:r>
      <w:r>
        <w:rPr>
          <w:rFonts w:hint="eastAsia" w:ascii="宋体" w:hAnsi="宋体" w:cs="宋体"/>
          <w:bCs/>
          <w:sz w:val="24"/>
        </w:rPr>
        <w:t>响应</w:t>
      </w:r>
      <w:r>
        <w:rPr>
          <w:rFonts w:hint="eastAsia" w:ascii="宋体" w:hAnsi="宋体" w:cs="宋体"/>
          <w:sz w:val="24"/>
        </w:rPr>
        <w:t>文件原则上不得涂改和增删，如确需修改，必须由法定代表人或其授权委托人在修改处签字并加盖公章。</w:t>
      </w:r>
    </w:p>
    <w:p>
      <w:pPr>
        <w:spacing w:line="460" w:lineRule="exact"/>
        <w:ind w:firstLine="480" w:firstLineChars="200"/>
        <w:jc w:val="left"/>
        <w:rPr>
          <w:rFonts w:hint="eastAsia" w:ascii="宋体" w:hAnsi="宋体" w:cs="宋体"/>
          <w:sz w:val="24"/>
        </w:rPr>
      </w:pPr>
      <w:r>
        <w:rPr>
          <w:rFonts w:hint="eastAsia" w:ascii="宋体" w:hAnsi="宋体" w:cs="宋体"/>
          <w:sz w:val="24"/>
        </w:rPr>
        <w:t>（五）磋商</w:t>
      </w:r>
      <w:r>
        <w:rPr>
          <w:rFonts w:hint="eastAsia" w:ascii="宋体" w:hAnsi="宋体" w:cs="宋体"/>
          <w:bCs/>
          <w:sz w:val="24"/>
        </w:rPr>
        <w:t>响应</w:t>
      </w:r>
      <w:r>
        <w:rPr>
          <w:rFonts w:hint="eastAsia" w:ascii="宋体" w:hAnsi="宋体" w:cs="宋体"/>
          <w:sz w:val="24"/>
        </w:rPr>
        <w:t>文件有效期</w:t>
      </w:r>
    </w:p>
    <w:p>
      <w:pPr>
        <w:spacing w:line="460" w:lineRule="exact"/>
        <w:ind w:firstLine="480" w:firstLineChars="200"/>
        <w:jc w:val="left"/>
        <w:rPr>
          <w:rFonts w:hint="eastAsia" w:ascii="宋体" w:hAnsi="宋体" w:cs="宋体"/>
          <w:sz w:val="24"/>
        </w:rPr>
      </w:pPr>
      <w:r>
        <w:rPr>
          <w:rFonts w:hint="eastAsia" w:ascii="宋体" w:hAnsi="宋体" w:cs="宋体"/>
          <w:sz w:val="24"/>
        </w:rPr>
        <w:t>磋商</w:t>
      </w:r>
      <w:r>
        <w:rPr>
          <w:rFonts w:hint="eastAsia" w:ascii="宋体" w:hAnsi="宋体" w:cs="宋体"/>
          <w:bCs/>
          <w:sz w:val="24"/>
        </w:rPr>
        <w:t>响应</w:t>
      </w:r>
      <w:r>
        <w:rPr>
          <w:rFonts w:hint="eastAsia" w:ascii="宋体" w:hAnsi="宋体" w:cs="宋体"/>
          <w:sz w:val="24"/>
        </w:rPr>
        <w:t>文件从磋商截止期结束后60日内有效。在特殊情况下，招标代理机构可与投标人协商延长磋商</w:t>
      </w:r>
      <w:r>
        <w:rPr>
          <w:rFonts w:hint="eastAsia" w:ascii="宋体" w:hAnsi="宋体" w:cs="宋体"/>
          <w:bCs/>
          <w:sz w:val="24"/>
        </w:rPr>
        <w:t>响应</w:t>
      </w:r>
      <w:r>
        <w:rPr>
          <w:rFonts w:hint="eastAsia" w:ascii="宋体" w:hAnsi="宋体" w:cs="宋体"/>
          <w:sz w:val="24"/>
        </w:rPr>
        <w:t>文件的有效期。</w:t>
      </w:r>
    </w:p>
    <w:p>
      <w:pPr>
        <w:pStyle w:val="4"/>
        <w:spacing w:line="460" w:lineRule="exact"/>
        <w:ind w:firstLine="480"/>
        <w:rPr>
          <w:rFonts w:hint="eastAsia" w:hAnsi="宋体" w:cs="宋体"/>
        </w:rPr>
      </w:pPr>
      <w:bookmarkStart w:id="13" w:name="_Toc314062389"/>
      <w:bookmarkStart w:id="14" w:name="_Toc40289565"/>
      <w:r>
        <w:rPr>
          <w:rFonts w:hint="eastAsia" w:hAnsi="宋体" w:cs="宋体"/>
        </w:rPr>
        <w:t>四、磋商响应文件的递交</w:t>
      </w:r>
      <w:bookmarkEnd w:id="13"/>
      <w:bookmarkEnd w:id="14"/>
    </w:p>
    <w:p>
      <w:pPr>
        <w:spacing w:line="460" w:lineRule="exact"/>
        <w:jc w:val="left"/>
        <w:rPr>
          <w:rFonts w:hint="eastAsia" w:ascii="宋体" w:hAnsi="宋体" w:cs="宋体"/>
          <w:sz w:val="24"/>
        </w:rPr>
      </w:pPr>
      <w:r>
        <w:rPr>
          <w:rFonts w:hint="eastAsia" w:ascii="宋体" w:hAnsi="宋体" w:cs="宋体"/>
          <w:sz w:val="24"/>
        </w:rPr>
        <w:t xml:space="preserve">   （一）磋商</w:t>
      </w:r>
      <w:r>
        <w:rPr>
          <w:rFonts w:hint="eastAsia" w:ascii="宋体" w:hAnsi="宋体" w:cs="宋体"/>
          <w:bCs/>
          <w:sz w:val="24"/>
        </w:rPr>
        <w:t>响应</w:t>
      </w:r>
      <w:r>
        <w:rPr>
          <w:rFonts w:hint="eastAsia" w:ascii="宋体" w:hAnsi="宋体" w:cs="宋体"/>
          <w:sz w:val="24"/>
        </w:rPr>
        <w:t>文件的密封和标记</w:t>
      </w:r>
    </w:p>
    <w:p>
      <w:pPr>
        <w:spacing w:line="460" w:lineRule="exact"/>
        <w:ind w:firstLine="480" w:firstLineChars="200"/>
        <w:jc w:val="left"/>
        <w:rPr>
          <w:rFonts w:hint="eastAsia" w:ascii="宋体" w:hAnsi="宋体" w:cs="宋体"/>
          <w:sz w:val="24"/>
        </w:rPr>
      </w:pPr>
      <w:r>
        <w:rPr>
          <w:rFonts w:hint="eastAsia" w:ascii="宋体" w:hAnsi="宋体" w:cs="宋体"/>
          <w:sz w:val="24"/>
        </w:rPr>
        <w:t>投标人应将磋商</w:t>
      </w:r>
      <w:r>
        <w:rPr>
          <w:rFonts w:hint="eastAsia" w:ascii="宋体" w:hAnsi="宋体" w:cs="宋体"/>
          <w:bCs/>
          <w:sz w:val="24"/>
        </w:rPr>
        <w:t>响应</w:t>
      </w:r>
      <w:r>
        <w:rPr>
          <w:rFonts w:hint="eastAsia" w:ascii="宋体" w:hAnsi="宋体" w:cs="宋体"/>
          <w:sz w:val="24"/>
        </w:rPr>
        <w:t>文件正本（壹套）和副本（</w:t>
      </w:r>
      <w:r>
        <w:rPr>
          <w:rFonts w:hint="eastAsia" w:ascii="宋体" w:hAnsi="宋体" w:cs="宋体"/>
          <w:sz w:val="24"/>
          <w:lang w:eastAsia="zh-CN"/>
        </w:rPr>
        <w:t>贰</w:t>
      </w:r>
      <w:r>
        <w:rPr>
          <w:rFonts w:hint="eastAsia" w:ascii="宋体" w:hAnsi="宋体" w:cs="宋体"/>
          <w:sz w:val="24"/>
        </w:rPr>
        <w:t>套）编制目录及页码，正本、副本需分别装订成册且同时密封在同一密封袋中，将密封袋封面（格式见竞争性磋商文件第四部分）粘贴在文件密封袋外，封贴处加盖公章。开标时要求提交的原件须编制目录并同原件一同密封（开标时须手持现场核验的除外）。如果未按上述规定进行密封和标记，招标代理机构对磋商</w:t>
      </w:r>
      <w:r>
        <w:rPr>
          <w:rFonts w:hint="eastAsia" w:ascii="宋体" w:hAnsi="宋体" w:cs="宋体"/>
          <w:bCs/>
          <w:sz w:val="24"/>
        </w:rPr>
        <w:t>响应</w:t>
      </w:r>
      <w:r>
        <w:rPr>
          <w:rFonts w:hint="eastAsia" w:ascii="宋体" w:hAnsi="宋体" w:cs="宋体"/>
          <w:sz w:val="24"/>
        </w:rPr>
        <w:t>文件不予接收，而且对磋商</w:t>
      </w:r>
      <w:r>
        <w:rPr>
          <w:rFonts w:hint="eastAsia" w:ascii="宋体" w:hAnsi="宋体" w:cs="宋体"/>
          <w:bCs/>
          <w:sz w:val="24"/>
        </w:rPr>
        <w:t>响应</w:t>
      </w:r>
      <w:r>
        <w:rPr>
          <w:rFonts w:hint="eastAsia" w:ascii="宋体" w:hAnsi="宋体" w:cs="宋体"/>
          <w:sz w:val="24"/>
        </w:rPr>
        <w:t>文件的误投或提前拆封不负责任；</w:t>
      </w:r>
    </w:p>
    <w:p>
      <w:pPr>
        <w:spacing w:line="460" w:lineRule="exact"/>
        <w:jc w:val="left"/>
        <w:rPr>
          <w:rFonts w:hint="eastAsia" w:ascii="宋体" w:hAnsi="宋体" w:cs="宋体"/>
          <w:sz w:val="24"/>
        </w:rPr>
      </w:pPr>
      <w:r>
        <w:rPr>
          <w:rFonts w:hint="eastAsia" w:ascii="宋体" w:hAnsi="宋体" w:cs="宋体"/>
          <w:sz w:val="24"/>
        </w:rPr>
        <w:t xml:space="preserve">   （二）磋商</w:t>
      </w:r>
      <w:r>
        <w:rPr>
          <w:rFonts w:hint="eastAsia" w:ascii="宋体" w:hAnsi="宋体" w:cs="宋体"/>
          <w:bCs/>
          <w:sz w:val="24"/>
        </w:rPr>
        <w:t>响应</w:t>
      </w:r>
      <w:r>
        <w:rPr>
          <w:rFonts w:hint="eastAsia" w:ascii="宋体" w:hAnsi="宋体" w:cs="宋体"/>
          <w:sz w:val="24"/>
        </w:rPr>
        <w:t>文件有下列情形之一的，招标代理机构不予受理：</w:t>
      </w:r>
    </w:p>
    <w:p>
      <w:pPr>
        <w:spacing w:line="460" w:lineRule="exact"/>
        <w:ind w:firstLine="480" w:firstLineChars="200"/>
        <w:jc w:val="left"/>
        <w:rPr>
          <w:rFonts w:hint="eastAsia" w:ascii="宋体" w:hAnsi="宋体" w:cs="宋体"/>
          <w:bCs/>
          <w:sz w:val="24"/>
        </w:rPr>
      </w:pPr>
      <w:r>
        <w:rPr>
          <w:rFonts w:hint="eastAsia" w:ascii="宋体" w:hAnsi="宋体" w:cs="宋体"/>
          <w:bCs/>
          <w:sz w:val="24"/>
        </w:rPr>
        <w:t>1、超过磋商截止时间送达或未送达指定地点的磋商响应文件；</w:t>
      </w:r>
    </w:p>
    <w:p>
      <w:pPr>
        <w:spacing w:line="460" w:lineRule="exact"/>
        <w:ind w:firstLine="480" w:firstLineChars="200"/>
        <w:jc w:val="left"/>
        <w:rPr>
          <w:rFonts w:hint="eastAsia" w:ascii="宋体" w:hAnsi="宋体" w:cs="宋体"/>
          <w:bCs/>
          <w:sz w:val="24"/>
        </w:rPr>
      </w:pPr>
      <w:r>
        <w:rPr>
          <w:rFonts w:hint="eastAsia" w:ascii="宋体" w:hAnsi="宋体" w:cs="宋体"/>
          <w:bCs/>
          <w:sz w:val="24"/>
        </w:rPr>
        <w:t>2、未按竞争性磋商文件要求密封的磋商响应文件。</w:t>
      </w:r>
    </w:p>
    <w:p>
      <w:pPr>
        <w:pStyle w:val="4"/>
        <w:spacing w:line="460" w:lineRule="exact"/>
        <w:ind w:firstLine="480"/>
        <w:rPr>
          <w:rFonts w:hint="eastAsia" w:hAnsi="宋体" w:cs="宋体"/>
        </w:rPr>
      </w:pPr>
      <w:bookmarkStart w:id="15" w:name="_Toc40289566"/>
      <w:bookmarkStart w:id="16" w:name="_Toc314062390"/>
      <w:r>
        <w:rPr>
          <w:rFonts w:hint="eastAsia" w:hAnsi="宋体" w:cs="宋体"/>
        </w:rPr>
        <w:t>五、磋商与评审</w:t>
      </w:r>
      <w:bookmarkEnd w:id="15"/>
      <w:bookmarkEnd w:id="16"/>
    </w:p>
    <w:p>
      <w:pPr>
        <w:spacing w:line="460" w:lineRule="exact"/>
        <w:jc w:val="left"/>
        <w:rPr>
          <w:rFonts w:hint="eastAsia" w:ascii="宋体" w:hAnsi="宋体" w:cs="宋体"/>
          <w:sz w:val="24"/>
        </w:rPr>
      </w:pPr>
      <w:r>
        <w:rPr>
          <w:rFonts w:hint="eastAsia" w:ascii="宋体" w:hAnsi="宋体" w:cs="宋体"/>
          <w:sz w:val="24"/>
        </w:rPr>
        <w:t xml:space="preserve">   （一）磋商会议</w:t>
      </w:r>
    </w:p>
    <w:p>
      <w:pPr>
        <w:spacing w:line="460" w:lineRule="exact"/>
        <w:ind w:firstLine="480" w:firstLineChars="200"/>
        <w:rPr>
          <w:rFonts w:hint="eastAsia" w:ascii="宋体" w:hAnsi="宋体" w:cs="宋体"/>
          <w:bCs/>
          <w:sz w:val="24"/>
        </w:rPr>
      </w:pPr>
      <w:r>
        <w:rPr>
          <w:rFonts w:hint="eastAsia" w:ascii="宋体" w:hAnsi="宋体" w:cs="宋体"/>
          <w:sz w:val="24"/>
        </w:rPr>
        <w:t>1、招标代理机构将在规定的时间和地点组织磋商。投标人的法定代表人或其授权委托人必须参加磋商会议，</w:t>
      </w:r>
      <w:r>
        <w:rPr>
          <w:rFonts w:hint="eastAsia" w:ascii="宋体" w:hAnsi="宋体" w:cs="宋体"/>
          <w:b/>
          <w:bCs/>
          <w:sz w:val="24"/>
        </w:rPr>
        <w:t>开标时法人代表参加的，需提供法定代表人身份证明书及身份证复印件及原件；委托代理人参加的，需提供授权委托书原件、法定代表人身份证复印件、委托代理人身份证复印件及原件。</w:t>
      </w:r>
      <w:r>
        <w:rPr>
          <w:rFonts w:hint="eastAsia" w:ascii="宋体" w:hAnsi="宋体" w:cs="宋体"/>
          <w:sz w:val="24"/>
        </w:rPr>
        <w:t>参加磋商的代表应签到以证明其出席，</w:t>
      </w:r>
      <w:r>
        <w:rPr>
          <w:rFonts w:hint="eastAsia" w:ascii="宋体" w:hAnsi="宋体" w:cs="宋体"/>
          <w:bCs/>
          <w:sz w:val="24"/>
        </w:rPr>
        <w:t>其法定代表人或其授权委托人未到场的或未能出示本人身份证的，其递交的磋商响应文件将被拒绝；</w:t>
      </w:r>
    </w:p>
    <w:p>
      <w:pPr>
        <w:spacing w:line="460" w:lineRule="exact"/>
        <w:ind w:firstLine="480" w:firstLineChars="200"/>
        <w:jc w:val="left"/>
        <w:rPr>
          <w:rFonts w:hint="eastAsia" w:ascii="宋体" w:hAnsi="宋体" w:cs="宋体"/>
          <w:bCs/>
          <w:sz w:val="24"/>
        </w:rPr>
      </w:pPr>
      <w:r>
        <w:rPr>
          <w:rFonts w:hint="eastAsia" w:ascii="宋体" w:hAnsi="宋体" w:cs="宋体"/>
          <w:bCs/>
          <w:sz w:val="24"/>
        </w:rPr>
        <w:t>2、在磋商会场，</w:t>
      </w:r>
      <w:r>
        <w:rPr>
          <w:rFonts w:hint="eastAsia" w:ascii="宋体" w:hAnsi="宋体" w:cs="宋体"/>
          <w:sz w:val="24"/>
        </w:rPr>
        <w:t>招标</w:t>
      </w:r>
      <w:r>
        <w:rPr>
          <w:rFonts w:hint="eastAsia" w:ascii="宋体" w:hAnsi="宋体" w:cs="宋体"/>
          <w:bCs/>
          <w:sz w:val="24"/>
        </w:rPr>
        <w:t>代理机构将当众宣读磋商投标人名称以及认为合适的其他内容；</w:t>
      </w:r>
    </w:p>
    <w:p>
      <w:pPr>
        <w:spacing w:line="460" w:lineRule="exact"/>
        <w:ind w:firstLine="480" w:firstLineChars="200"/>
        <w:jc w:val="left"/>
        <w:rPr>
          <w:rFonts w:hint="eastAsia" w:ascii="宋体" w:hAnsi="宋体" w:cs="宋体"/>
          <w:sz w:val="24"/>
        </w:rPr>
      </w:pPr>
      <w:r>
        <w:rPr>
          <w:rFonts w:hint="eastAsia" w:ascii="宋体" w:hAnsi="宋体" w:cs="宋体"/>
          <w:sz w:val="24"/>
        </w:rPr>
        <w:t>3、招标代理机构将做磋商记录；</w:t>
      </w:r>
    </w:p>
    <w:p>
      <w:pPr>
        <w:spacing w:line="460" w:lineRule="exact"/>
        <w:ind w:firstLine="480" w:firstLineChars="200"/>
        <w:jc w:val="left"/>
        <w:rPr>
          <w:rFonts w:hint="eastAsia" w:ascii="宋体" w:hAnsi="宋体" w:cs="宋体"/>
          <w:sz w:val="24"/>
        </w:rPr>
      </w:pPr>
      <w:r>
        <w:rPr>
          <w:rFonts w:hint="eastAsia" w:ascii="宋体" w:hAnsi="宋体" w:cs="宋体"/>
          <w:sz w:val="24"/>
        </w:rPr>
        <w:t>4、招标代理机构根据磋商项目的特点组建磋商小组和磋商小组成员推举磋商小组组长；</w:t>
      </w:r>
    </w:p>
    <w:p>
      <w:pPr>
        <w:spacing w:line="460" w:lineRule="exact"/>
        <w:ind w:firstLine="360" w:firstLineChars="150"/>
        <w:jc w:val="left"/>
        <w:rPr>
          <w:rFonts w:hint="eastAsia" w:ascii="宋体" w:hAnsi="宋体" w:cs="宋体"/>
          <w:sz w:val="24"/>
        </w:rPr>
      </w:pPr>
      <w:r>
        <w:rPr>
          <w:rFonts w:hint="eastAsia" w:ascii="宋体" w:hAnsi="宋体" w:cs="宋体"/>
          <w:sz w:val="24"/>
        </w:rPr>
        <w:t>（二）磋商</w:t>
      </w:r>
    </w:p>
    <w:p>
      <w:pPr>
        <w:spacing w:line="460" w:lineRule="exact"/>
        <w:ind w:firstLine="360" w:firstLineChars="150"/>
        <w:jc w:val="left"/>
        <w:rPr>
          <w:rFonts w:hint="eastAsia" w:ascii="宋体" w:hAnsi="宋体" w:cs="宋体"/>
          <w:sz w:val="24"/>
        </w:rPr>
      </w:pPr>
      <w:r>
        <w:rPr>
          <w:rFonts w:hint="eastAsia" w:ascii="宋体" w:hAnsi="宋体" w:cs="宋体"/>
          <w:sz w:val="24"/>
        </w:rPr>
        <w:t>详见磋商文件</w:t>
      </w:r>
      <w:r>
        <w:rPr>
          <w:rFonts w:hint="eastAsia" w:ascii="宋体" w:hAnsi="宋体" w:cs="宋体"/>
          <w:b/>
          <w:bCs/>
          <w:sz w:val="24"/>
        </w:rPr>
        <w:t>第五部分。</w:t>
      </w:r>
    </w:p>
    <w:p>
      <w:pPr>
        <w:spacing w:line="440" w:lineRule="exact"/>
        <w:jc w:val="left"/>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 xml:space="preserve">  六、中标通知书</w:t>
      </w:r>
    </w:p>
    <w:p>
      <w:pPr>
        <w:spacing w:line="440" w:lineRule="exact"/>
        <w:jc w:val="left"/>
        <w:rPr>
          <w:rFonts w:hint="eastAsia" w:ascii="宋体" w:hAnsi="宋体" w:cs="宋体"/>
          <w:sz w:val="24"/>
        </w:rPr>
      </w:pPr>
      <w:r>
        <w:rPr>
          <w:rFonts w:hint="eastAsia" w:ascii="宋体" w:hAnsi="宋体" w:cs="宋体"/>
          <w:sz w:val="24"/>
        </w:rPr>
        <w:t xml:space="preserve">      中标人在中标公告发布后5个工作日内领取中标通知书。如未按期领取而产生的一切后果，均由中标人承担。</w:t>
      </w:r>
    </w:p>
    <w:p>
      <w:pPr>
        <w:pStyle w:val="4"/>
        <w:spacing w:line="440" w:lineRule="exact"/>
        <w:ind w:firstLine="480"/>
        <w:rPr>
          <w:rFonts w:hint="eastAsia" w:hAnsi="宋体" w:cs="宋体"/>
        </w:rPr>
      </w:pPr>
      <w:bookmarkStart w:id="17" w:name="_Toc40289567"/>
      <w:bookmarkStart w:id="18" w:name="_Toc314062391"/>
      <w:r>
        <w:rPr>
          <w:rFonts w:hint="eastAsia" w:hAnsi="宋体" w:cs="宋体"/>
        </w:rPr>
        <w:t>七、保密及其他注意事项</w:t>
      </w:r>
      <w:bookmarkEnd w:id="17"/>
      <w:bookmarkEnd w:id="18"/>
    </w:p>
    <w:p>
      <w:pPr>
        <w:spacing w:line="440" w:lineRule="exact"/>
        <w:ind w:firstLine="480" w:firstLineChars="200"/>
        <w:jc w:val="left"/>
        <w:rPr>
          <w:rFonts w:hint="eastAsia" w:ascii="宋体" w:hAnsi="宋体" w:cs="宋体"/>
          <w:sz w:val="24"/>
        </w:rPr>
      </w:pPr>
      <w:r>
        <w:rPr>
          <w:rFonts w:hint="eastAsia" w:ascii="宋体" w:hAnsi="宋体" w:cs="宋体"/>
          <w:sz w:val="24"/>
        </w:rPr>
        <w:t>1、评审是磋商工作的重要环节，评审在磋商小组内独立进行。</w:t>
      </w:r>
    </w:p>
    <w:p>
      <w:pPr>
        <w:spacing w:line="440" w:lineRule="exact"/>
        <w:ind w:firstLine="480" w:firstLineChars="200"/>
        <w:jc w:val="left"/>
        <w:rPr>
          <w:rFonts w:hint="eastAsia" w:ascii="宋体" w:hAnsi="宋体" w:cs="宋体"/>
          <w:sz w:val="24"/>
        </w:rPr>
      </w:pPr>
      <w:r>
        <w:rPr>
          <w:rFonts w:hint="eastAsia" w:ascii="宋体" w:hAnsi="宋体" w:cs="宋体"/>
          <w:sz w:val="24"/>
        </w:rPr>
        <w:t>2、投标人应遵守有关法律、法规，不得采取不正当的竞争手段，否则，其后果由投标人自负。</w:t>
      </w:r>
    </w:p>
    <w:p>
      <w:pPr>
        <w:spacing w:line="440" w:lineRule="exact"/>
        <w:ind w:firstLine="480" w:firstLineChars="200"/>
        <w:jc w:val="left"/>
        <w:rPr>
          <w:rFonts w:hint="eastAsia" w:ascii="宋体" w:hAnsi="宋体" w:cs="宋体"/>
          <w:sz w:val="24"/>
        </w:rPr>
      </w:pPr>
      <w:r>
        <w:rPr>
          <w:rFonts w:hint="eastAsia" w:ascii="宋体" w:hAnsi="宋体" w:cs="宋体"/>
          <w:sz w:val="24"/>
        </w:rPr>
        <w:t>3、在磋商会开始直至宣布结果之前，投标人不得向磋商专家询问评审情况，不得进行旨在影响磋商结果的活动，否则，其磋商无效并追究法律责任。</w:t>
      </w:r>
    </w:p>
    <w:p>
      <w:pPr>
        <w:spacing w:line="440" w:lineRule="exact"/>
        <w:ind w:firstLine="480" w:firstLineChars="200"/>
        <w:jc w:val="left"/>
        <w:rPr>
          <w:rFonts w:hint="eastAsia" w:ascii="宋体" w:hAnsi="宋体" w:cs="宋体"/>
          <w:sz w:val="24"/>
        </w:rPr>
      </w:pPr>
      <w:r>
        <w:rPr>
          <w:rFonts w:hint="eastAsia" w:ascii="宋体" w:hAnsi="宋体" w:cs="宋体"/>
          <w:sz w:val="24"/>
        </w:rPr>
        <w:t>4、评审过程中，磋商专家不得与投标人私下交换意见。在磋商工作结束后，凡与磋商情况有接触的任何人，不得将磋商情况进行泄露。</w:t>
      </w:r>
    </w:p>
    <w:p>
      <w:pPr>
        <w:pStyle w:val="4"/>
        <w:spacing w:line="440" w:lineRule="exact"/>
        <w:ind w:firstLine="480"/>
        <w:rPr>
          <w:rFonts w:hint="eastAsia" w:hAnsi="宋体" w:cs="宋体"/>
        </w:rPr>
      </w:pPr>
      <w:bookmarkStart w:id="19" w:name="_Toc40289568"/>
      <w:bookmarkStart w:id="20" w:name="_Toc314062392"/>
      <w:r>
        <w:rPr>
          <w:rFonts w:hint="eastAsia" w:hAnsi="宋体" w:cs="宋体"/>
        </w:rPr>
        <w:t>八、合同</w:t>
      </w:r>
      <w:bookmarkEnd w:id="19"/>
      <w:bookmarkEnd w:id="20"/>
    </w:p>
    <w:p>
      <w:pPr>
        <w:spacing w:line="440" w:lineRule="exact"/>
        <w:ind w:firstLine="480" w:firstLineChars="200"/>
        <w:jc w:val="left"/>
        <w:rPr>
          <w:rFonts w:hint="eastAsia" w:ascii="宋体" w:hAnsi="宋体" w:cs="宋体"/>
          <w:sz w:val="24"/>
        </w:rPr>
      </w:pPr>
      <w:r>
        <w:rPr>
          <w:rFonts w:hint="eastAsia" w:ascii="宋体" w:hAnsi="宋体" w:cs="宋体"/>
          <w:sz w:val="24"/>
        </w:rPr>
        <w:t xml:space="preserve"> 1、中标人持中标通知书与招标人签订合同；</w:t>
      </w:r>
    </w:p>
    <w:p>
      <w:pPr>
        <w:spacing w:line="440" w:lineRule="exact"/>
        <w:ind w:firstLine="480" w:firstLineChars="200"/>
        <w:jc w:val="left"/>
        <w:rPr>
          <w:rFonts w:hint="eastAsia" w:ascii="宋体" w:hAnsi="宋体" w:cs="宋体"/>
          <w:sz w:val="24"/>
        </w:rPr>
      </w:pPr>
      <w:r>
        <w:rPr>
          <w:rFonts w:hint="eastAsia" w:ascii="宋体" w:hAnsi="宋体" w:cs="宋体"/>
          <w:sz w:val="24"/>
        </w:rPr>
        <w:t xml:space="preserve"> 2、如中标人或招标人不按中标通知书规定的时间等要求按时签订合同或拒绝签订合同，则按违约处理。中标人违约，将对其全部投标保证金不予退还，并在有关媒体公布其不良行为；招标人违约，则按照《中华人民共和国政府采购法》有关规定处理。</w:t>
      </w:r>
    </w:p>
    <w:p>
      <w:pPr>
        <w:spacing w:line="440" w:lineRule="exact"/>
        <w:ind w:firstLine="480" w:firstLineChars="200"/>
        <w:jc w:val="left"/>
        <w:rPr>
          <w:rFonts w:hint="eastAsia" w:ascii="宋体" w:hAnsi="宋体" w:cs="宋体"/>
          <w:sz w:val="24"/>
        </w:rPr>
      </w:pPr>
      <w:r>
        <w:rPr>
          <w:rFonts w:hint="eastAsia" w:ascii="宋体" w:hAnsi="宋体" w:cs="宋体"/>
          <w:sz w:val="24"/>
        </w:rPr>
        <w:t xml:space="preserve"> 3、如遇中标人违约，招标代理机构可以从候选中标人中按顺序排名重新选定中标人；</w:t>
      </w:r>
    </w:p>
    <w:p>
      <w:pPr>
        <w:spacing w:line="440" w:lineRule="exact"/>
        <w:ind w:firstLine="600" w:firstLineChars="250"/>
        <w:jc w:val="left"/>
        <w:rPr>
          <w:rFonts w:hint="eastAsia" w:ascii="宋体" w:hAnsi="宋体" w:cs="宋体"/>
          <w:sz w:val="24"/>
        </w:rPr>
      </w:pPr>
      <w:r>
        <w:rPr>
          <w:rFonts w:hint="eastAsia" w:ascii="宋体" w:hAnsi="宋体" w:cs="宋体"/>
          <w:sz w:val="24"/>
        </w:rPr>
        <w:t>4、竞争性磋商文件、磋商</w:t>
      </w:r>
      <w:r>
        <w:rPr>
          <w:rFonts w:hint="eastAsia" w:ascii="宋体" w:hAnsi="宋体" w:cs="宋体"/>
          <w:bCs/>
          <w:sz w:val="24"/>
        </w:rPr>
        <w:t>响应</w:t>
      </w:r>
      <w:r>
        <w:rPr>
          <w:rFonts w:hint="eastAsia" w:ascii="宋体" w:hAnsi="宋体" w:cs="宋体"/>
          <w:sz w:val="24"/>
        </w:rPr>
        <w:t>文件、投标人的磋商现场确认文件，均作为签订合同之依据。</w:t>
      </w:r>
    </w:p>
    <w:p>
      <w:pPr>
        <w:pStyle w:val="4"/>
        <w:spacing w:line="460" w:lineRule="exact"/>
        <w:ind w:firstLine="0" w:firstLineChars="0"/>
        <w:rPr>
          <w:rFonts w:hint="eastAsia" w:hAnsi="宋体" w:cs="宋体"/>
        </w:rPr>
      </w:pPr>
      <w:bookmarkStart w:id="21" w:name="_Toc314062393"/>
      <w:bookmarkStart w:id="22" w:name="_Toc40289569"/>
      <w:r>
        <w:rPr>
          <w:rFonts w:hint="eastAsia" w:hAnsi="宋体" w:cs="宋体"/>
        </w:rPr>
        <w:t xml:space="preserve"> </w:t>
      </w:r>
      <w:bookmarkEnd w:id="21"/>
      <w:r>
        <w:rPr>
          <w:rFonts w:hint="eastAsia" w:hAnsi="宋体" w:cs="宋体"/>
        </w:rPr>
        <w:t xml:space="preserve">   九、其它事项</w:t>
      </w:r>
      <w:bookmarkEnd w:id="22"/>
    </w:p>
    <w:p>
      <w:pPr>
        <w:spacing w:line="460" w:lineRule="exact"/>
        <w:jc w:val="left"/>
        <w:rPr>
          <w:rFonts w:hint="eastAsia" w:ascii="宋体" w:hAnsi="宋体" w:cs="宋体"/>
          <w:sz w:val="24"/>
        </w:rPr>
      </w:pPr>
      <w:r>
        <w:rPr>
          <w:rFonts w:hint="eastAsia" w:ascii="宋体" w:hAnsi="宋体" w:cs="宋体"/>
          <w:sz w:val="24"/>
        </w:rPr>
        <w:t xml:space="preserve">   （一）服务费</w:t>
      </w:r>
    </w:p>
    <w:p>
      <w:pPr>
        <w:spacing w:line="460" w:lineRule="exact"/>
        <w:jc w:val="left"/>
        <w:rPr>
          <w:rFonts w:hint="eastAsia" w:ascii="宋体" w:hAnsi="宋体" w:cs="宋体"/>
          <w:color w:val="FF0000"/>
          <w:sz w:val="24"/>
        </w:rPr>
      </w:pPr>
      <w:r>
        <w:rPr>
          <w:rFonts w:hint="eastAsia" w:ascii="宋体" w:hAnsi="宋体" w:cs="宋体"/>
          <w:bCs/>
          <w:snapToGrid w:val="0"/>
          <w:spacing w:val="12"/>
          <w:sz w:val="24"/>
        </w:rPr>
        <w:t xml:space="preserve">    </w:t>
      </w:r>
      <w:r>
        <w:rPr>
          <w:rFonts w:hint="eastAsia" w:ascii="宋体" w:hAnsi="宋体" w:cs="宋体"/>
          <w:sz w:val="24"/>
          <w:lang w:eastAsia="zh-CN"/>
        </w:rPr>
        <w:t>代理服务费按照国家计划委员会价格［2002］1980号文件相关精神，由中标人在领取中标通知书前向招标代理机构一次性付清。</w:t>
      </w:r>
      <w:r>
        <w:rPr>
          <w:rFonts w:hint="eastAsia" w:ascii="宋体" w:hAnsi="宋体" w:cs="宋体"/>
          <w:color w:val="FF0000"/>
          <w:sz w:val="24"/>
        </w:rPr>
        <w:t xml:space="preserve">  </w:t>
      </w:r>
    </w:p>
    <w:p>
      <w:pPr>
        <w:pStyle w:val="11"/>
        <w:spacing w:line="360" w:lineRule="exact"/>
        <w:ind w:firstLine="960" w:firstLineChars="400"/>
        <w:rPr>
          <w:rFonts w:hint="eastAsia" w:ascii="宋体" w:hAnsi="宋体" w:cs="宋体"/>
          <w:sz w:val="24"/>
        </w:rPr>
      </w:pPr>
      <w:r>
        <w:rPr>
          <w:rFonts w:hint="eastAsia" w:ascii="宋体" w:hAnsi="宋体" w:cs="宋体"/>
          <w:sz w:val="24"/>
        </w:rPr>
        <w:t>（二）本竞争性磋商文件是根据《中华人民共和国政府采购法》及其相关法律法规编制的，解释权属</w:t>
      </w:r>
      <w:r>
        <w:rPr>
          <w:rFonts w:hint="eastAsia"/>
        </w:rPr>
        <w:t>邢台华铭工程项目管理有限公司</w:t>
      </w:r>
      <w:r>
        <w:rPr>
          <w:rFonts w:hint="eastAsia" w:ascii="宋体" w:hAnsi="宋体" w:cs="宋体"/>
          <w:sz w:val="24"/>
        </w:rPr>
        <w:t>。</w:t>
      </w:r>
    </w:p>
    <w:p>
      <w:pPr>
        <w:pStyle w:val="29"/>
        <w:tabs>
          <w:tab w:val="left" w:pos="1499"/>
        </w:tabs>
        <w:spacing w:line="364" w:lineRule="auto"/>
        <w:ind w:left="0" w:right="525" w:firstLine="1767" w:firstLineChars="400"/>
        <w:jc w:val="both"/>
        <w:rPr>
          <w:b/>
          <w:sz w:val="44"/>
        </w:rPr>
      </w:pPr>
      <w:r>
        <w:rPr>
          <w:b/>
          <w:sz w:val="44"/>
        </w:rPr>
        <w:t>第</w:t>
      </w:r>
      <w:r>
        <w:rPr>
          <w:rFonts w:hint="eastAsia"/>
          <w:b/>
          <w:sz w:val="44"/>
        </w:rPr>
        <w:t>二</w:t>
      </w:r>
      <w:r>
        <w:rPr>
          <w:b/>
          <w:sz w:val="44"/>
        </w:rPr>
        <w:t>章：</w:t>
      </w:r>
      <w:r>
        <w:rPr>
          <w:rFonts w:hint="eastAsia"/>
          <w:b/>
          <w:sz w:val="44"/>
        </w:rPr>
        <w:t>项目说明及要求</w:t>
      </w:r>
    </w:p>
    <w:p>
      <w:pPr>
        <w:pStyle w:val="54"/>
        <w:spacing w:after="0" w:line="340" w:lineRule="exact"/>
        <w:ind w:firstLine="280" w:firstLineChars="100"/>
        <w:rPr>
          <w:rFonts w:ascii="仿宋" w:hAnsi="仿宋" w:eastAsia="仿宋" w:cs="仿宋"/>
          <w:sz w:val="28"/>
          <w:szCs w:val="28"/>
        </w:rPr>
      </w:pPr>
      <w:r>
        <w:rPr>
          <w:rFonts w:hint="eastAsia" w:ascii="仿宋" w:hAnsi="仿宋" w:eastAsia="仿宋" w:cs="仿宋"/>
          <w:sz w:val="28"/>
          <w:szCs w:val="28"/>
        </w:rPr>
        <w:t>满足国家、省普查要求。一是提供标本、影像资料。主要有害生物标本和影像资料；二是工作报告和普查结果报告。根据采购方需要，协助完成普查工作总结报告，为采购方提交普查结果报告内容包括：本辖区草原有害生物种类及其发生分布情况、草原有害生物发生趋势分析及主要草原有害生物风险评估报告等。</w:t>
      </w:r>
    </w:p>
    <w:p>
      <w:pPr>
        <w:pStyle w:val="29"/>
        <w:tabs>
          <w:tab w:val="left" w:pos="1499"/>
        </w:tabs>
        <w:spacing w:line="364" w:lineRule="auto"/>
        <w:ind w:left="0" w:right="525" w:firstLine="0"/>
        <w:jc w:val="both"/>
        <w:rPr>
          <w:sz w:val="24"/>
          <w:lang w:val="en-US"/>
        </w:rPr>
      </w:pPr>
      <w:r>
        <w:rPr>
          <w:rFonts w:hint="eastAsia"/>
          <w:sz w:val="24"/>
          <w:lang w:val="en-US"/>
        </w:rPr>
        <w:t xml:space="preserve">  </w:t>
      </w: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rPr>
        <w:t>附件</w:t>
      </w:r>
      <w:r>
        <w:rPr>
          <w:rFonts w:hint="eastAsia" w:ascii="黑体" w:hAnsi="黑体" w:eastAsia="黑体" w:cs="黑体"/>
          <w:color w:val="000000"/>
          <w:sz w:val="32"/>
          <w:szCs w:val="32"/>
          <w:lang w:val="en-US" w:eastAsia="zh-CN"/>
        </w:rPr>
        <w:t>1</w:t>
      </w:r>
    </w:p>
    <w:p>
      <w:pPr>
        <w:jc w:val="center"/>
        <w:rPr>
          <w:b/>
          <w:bCs/>
          <w:color w:val="000000"/>
          <w:sz w:val="44"/>
          <w:szCs w:val="44"/>
          <w:lang w:val="en-US"/>
        </w:rPr>
      </w:pPr>
      <w:r>
        <w:rPr>
          <w:rFonts w:hint="eastAsia"/>
          <w:b/>
          <w:bCs/>
          <w:color w:val="000000"/>
          <w:sz w:val="44"/>
          <w:szCs w:val="44"/>
          <w:lang w:val="en-US"/>
        </w:rPr>
        <w:t>河北省草原有害生物普查工作实施方案</w:t>
      </w:r>
    </w:p>
    <w:p>
      <w:pPr>
        <w:ind w:firstLine="640" w:firstLineChars="200"/>
        <w:rPr>
          <w:rFonts w:ascii="仿宋_GB2312" w:hAnsi="仿宋_GB2312" w:eastAsia="仿宋_GB2312" w:cs="仿宋_GB2312"/>
          <w:color w:val="FF0000"/>
          <w:sz w:val="32"/>
          <w:szCs w:val="32"/>
          <w:lang w:val="en-US"/>
        </w:rPr>
      </w:pPr>
      <w:r>
        <w:rPr>
          <w:rFonts w:hint="eastAsia" w:ascii="仿宋_GB2312" w:hAnsi="仿宋_GB2312" w:eastAsia="仿宋_GB2312" w:cs="仿宋_GB2312"/>
          <w:sz w:val="32"/>
          <w:szCs w:val="32"/>
          <w:lang w:val="en-US"/>
        </w:rPr>
        <w:t>根据《国家林业和草原局关于开展全国草原有害生物普查工作的通知》（办草字〔2020〕87号）和</w:t>
      </w:r>
      <w:r>
        <w:rPr>
          <w:rFonts w:hint="eastAsia" w:ascii="仿宋_GB2312" w:hAnsi="仿宋_GB2312" w:eastAsia="仿宋_GB2312" w:cs="仿宋_GB2312"/>
          <w:color w:val="000000"/>
          <w:sz w:val="32"/>
          <w:szCs w:val="32"/>
          <w:lang w:val="en-US"/>
        </w:rPr>
        <w:t>《关于印发河北省草原生态修复治理资金实施指导意见的通知》（冀林草字</w:t>
      </w:r>
      <w:r>
        <w:rPr>
          <w:rFonts w:hint="eastAsia" w:ascii="仿宋_GB2312" w:hAnsi="仿宋_GB2312" w:eastAsia="仿宋_GB2312" w:cs="仿宋_GB2312"/>
          <w:sz w:val="32"/>
          <w:szCs w:val="32"/>
          <w:lang w:val="en-US"/>
        </w:rPr>
        <w:t>〔2021〕13号</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sz w:val="32"/>
          <w:szCs w:val="32"/>
          <w:lang w:val="en-US"/>
        </w:rPr>
        <w:t>要求，为全面做好草原有害生物普查工作，结合我省工作实际，制订本方案。</w:t>
      </w:r>
    </w:p>
    <w:p>
      <w:pPr>
        <w:rPr>
          <w:rFonts w:ascii="黑体" w:hAnsi="黑体" w:eastAsia="黑体" w:cs="黑体"/>
          <w:color w:val="000000"/>
          <w:sz w:val="32"/>
          <w:szCs w:val="32"/>
          <w:lang w:val="en-US"/>
        </w:rPr>
      </w:pPr>
      <w:r>
        <w:rPr>
          <w:rFonts w:hint="eastAsia" w:ascii="黑体" w:hAnsi="黑体" w:eastAsia="黑体" w:cs="黑体"/>
          <w:color w:val="000000"/>
          <w:sz w:val="32"/>
          <w:szCs w:val="32"/>
          <w:lang w:val="en-US"/>
        </w:rPr>
        <w:t>　　１ 普查目的</w:t>
      </w:r>
    </w:p>
    <w:p>
      <w:pPr>
        <w:widowControl/>
        <w:ind w:firstLine="640"/>
        <w:rPr>
          <w:rFonts w:ascii="仿宋_GB2312" w:hAnsi="仿宋_GB2312" w:eastAsia="仿宋_GB2312" w:cs="仿宋_GB2312"/>
          <w:color w:val="C0504D"/>
          <w:sz w:val="32"/>
          <w:szCs w:val="32"/>
          <w:lang w:val="en-US"/>
        </w:rPr>
      </w:pPr>
      <w:r>
        <w:rPr>
          <w:rFonts w:hint="eastAsia" w:ascii="仿宋_GB2312" w:hAnsi="仿宋_GB2312" w:eastAsia="仿宋_GB2312" w:cs="仿宋_GB2312"/>
          <w:color w:val="000000"/>
          <w:sz w:val="32"/>
          <w:szCs w:val="32"/>
          <w:lang w:val="en-US"/>
        </w:rPr>
        <w:t>查明我省草原有害生物发生种类、面积、分布及危害程度，系统评估草原有害生物发生危害现状及未来趋势，科学区划并明晰我省草原有害生物防控工作重点，培育一支基层监</w:t>
      </w:r>
      <w:r>
        <w:rPr>
          <w:rFonts w:ascii="仿宋_GB2312" w:hAnsi="仿宋_GB2312" w:eastAsia="仿宋_GB2312" w:cs="仿宋_GB2312"/>
          <w:color w:val="000000"/>
          <w:sz w:val="32"/>
          <w:szCs w:val="32"/>
          <w:lang w:val="en-US"/>
        </w:rPr>
        <w:t>测预报队伍</w:t>
      </w:r>
      <w:r>
        <w:rPr>
          <w:rFonts w:hint="eastAsia" w:ascii="仿宋_GB2312" w:hAnsi="仿宋_GB2312" w:eastAsia="仿宋_GB2312" w:cs="仿宋_GB2312"/>
          <w:color w:val="000000"/>
          <w:sz w:val="32"/>
          <w:szCs w:val="32"/>
          <w:lang w:val="en-US"/>
        </w:rPr>
        <w:t>，建立一套监测预</w:t>
      </w:r>
      <w:r>
        <w:rPr>
          <w:rFonts w:ascii="仿宋_GB2312" w:hAnsi="仿宋_GB2312" w:eastAsia="仿宋_GB2312" w:cs="仿宋_GB2312"/>
          <w:color w:val="000000"/>
          <w:sz w:val="32"/>
          <w:szCs w:val="32"/>
          <w:lang w:val="en-US"/>
        </w:rPr>
        <w:t>报技术标准体系</w:t>
      </w:r>
      <w:r>
        <w:rPr>
          <w:rFonts w:hint="eastAsia" w:ascii="仿宋_GB2312" w:hAnsi="仿宋_GB2312" w:eastAsia="仿宋_GB2312" w:cs="仿宋_GB2312"/>
          <w:color w:val="000000"/>
          <w:sz w:val="32"/>
          <w:szCs w:val="32"/>
          <w:lang w:val="en-US"/>
        </w:rPr>
        <w:t>，形成一套监测预报工作机制与</w:t>
      </w:r>
      <w:r>
        <w:rPr>
          <w:rFonts w:hint="eastAsia" w:ascii="仿宋_GB2312" w:hAnsi="仿宋_GB2312" w:eastAsia="仿宋_GB2312" w:cs="仿宋_GB2312"/>
          <w:sz w:val="32"/>
          <w:szCs w:val="32"/>
          <w:lang w:val="en-US"/>
        </w:rPr>
        <w:t>基层监测工作组织模式，夯实草原有害生物监测预报相关基础工作，提高有害生物科学防控水平，为保障首都“两区”建设和全省草原顶层设计提供数据支撑。</w:t>
      </w:r>
    </w:p>
    <w:p>
      <w:pPr>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2 普查范围</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2.1 普查区域。</w:t>
      </w:r>
      <w:r>
        <w:rPr>
          <w:rFonts w:hint="eastAsia" w:ascii="仿宋_GB2312" w:hAnsi="仿宋_GB2312" w:eastAsia="仿宋_GB2312" w:cs="仿宋_GB2312"/>
          <w:color w:val="000000"/>
          <w:sz w:val="32"/>
          <w:szCs w:val="32"/>
          <w:lang w:val="en-US"/>
        </w:rPr>
        <w:t>《中华人民共和国草原法》所界定的全省范围内草原，即天然草原（包括草地、草山和草坡）和人工草地（包括改良草地和退耕还草地）。</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2.2 普查对象</w:t>
      </w:r>
      <w:r>
        <w:rPr>
          <w:rFonts w:hint="eastAsia" w:ascii="仿宋_GB2312" w:hAnsi="仿宋_GB2312" w:eastAsia="仿宋_GB2312" w:cs="仿宋_GB2312"/>
          <w:color w:val="000000"/>
          <w:sz w:val="32"/>
          <w:szCs w:val="32"/>
          <w:lang w:val="en-US"/>
        </w:rPr>
        <w:t>。危害草原植被及其产品并造成经济或生态损失的主要有害生物（含入侵物种），包括啮齿类动物、昆虫、植物病原微生物、毒害草等。</w:t>
      </w:r>
    </w:p>
    <w:p>
      <w:pPr>
        <w:widowControl/>
        <w:ind w:firstLine="64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3 普查原则</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3.1 统一领导，分级负责。</w:t>
      </w:r>
      <w:r>
        <w:rPr>
          <w:rFonts w:hint="eastAsia" w:ascii="仿宋_GB2312" w:hAnsi="仿宋_GB2312" w:eastAsia="仿宋_GB2312" w:cs="仿宋_GB2312"/>
          <w:color w:val="000000"/>
          <w:sz w:val="32"/>
          <w:szCs w:val="32"/>
          <w:lang w:val="en-US"/>
        </w:rPr>
        <w:t>在国家林业和草原局统一领导下，河北省林业和草原局草原管理处负责全省普查工作的</w:t>
      </w:r>
      <w:r>
        <w:rPr>
          <w:rFonts w:hint="eastAsia" w:ascii="仿宋_GB2312" w:hAnsi="仿宋_GB2312" w:eastAsia="仿宋_GB2312" w:cs="仿宋_GB2312"/>
          <w:sz w:val="32"/>
          <w:szCs w:val="32"/>
          <w:lang w:val="en-US"/>
        </w:rPr>
        <w:t>组织领导实施，省林业和草原有害生物防治检疫站负责普查工作的技术指导。各有关市（县、市、区）林业和草</w:t>
      </w:r>
      <w:r>
        <w:rPr>
          <w:rFonts w:hint="eastAsia" w:ascii="仿宋_GB2312" w:hAnsi="仿宋_GB2312" w:eastAsia="仿宋_GB2312" w:cs="仿宋_GB2312"/>
          <w:color w:val="000000"/>
          <w:sz w:val="32"/>
          <w:szCs w:val="32"/>
          <w:lang w:val="en-US"/>
        </w:rPr>
        <w:t>原主管部门及其所属的草原有害生物防治机构各司其职，分级负责。</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3.2 全面谋划，有序推进。</w:t>
      </w:r>
      <w:r>
        <w:rPr>
          <w:rFonts w:hint="eastAsia" w:ascii="仿宋_GB2312" w:hAnsi="仿宋_GB2312" w:eastAsia="仿宋_GB2312" w:cs="仿宋_GB2312"/>
          <w:color w:val="000000"/>
          <w:sz w:val="32"/>
          <w:szCs w:val="32"/>
          <w:lang w:val="en-US"/>
        </w:rPr>
        <w:t>做好顶层设计，坚持标准先行，统一规范开展普查工作。加强对全省各地普查工作的服务和指导，及时修正出现的问题，积极稳妥有序推进，确保普查各项工作目标如期实现。</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3.3 创新驱动，形成合力。</w:t>
      </w:r>
      <w:r>
        <w:rPr>
          <w:rFonts w:hint="eastAsia" w:ascii="仿宋_GB2312" w:hAnsi="仿宋_GB2312" w:eastAsia="仿宋_GB2312" w:cs="仿宋_GB2312"/>
          <w:color w:val="000000"/>
          <w:sz w:val="32"/>
          <w:szCs w:val="32"/>
          <w:lang w:val="en-US"/>
        </w:rPr>
        <w:t>积极探索建立</w:t>
      </w:r>
      <w:r>
        <w:rPr>
          <w:rFonts w:hint="eastAsia" w:ascii="仿宋_GB2312" w:hAnsi="仿宋_GB2312" w:eastAsia="仿宋_GB2312" w:cs="仿宋_GB2312"/>
          <w:sz w:val="32"/>
          <w:szCs w:val="32"/>
          <w:lang w:val="en-US"/>
        </w:rPr>
        <w:t>适应新形势下全省草原有害生物监测预报机制和组织模式，用现代化、信息化手</w:t>
      </w:r>
      <w:r>
        <w:rPr>
          <w:rFonts w:hint="eastAsia" w:ascii="仿宋_GB2312" w:hAnsi="仿宋_GB2312" w:eastAsia="仿宋_GB2312" w:cs="仿宋_GB2312"/>
          <w:color w:val="000000"/>
          <w:sz w:val="32"/>
          <w:szCs w:val="32"/>
          <w:lang w:val="en-US"/>
        </w:rPr>
        <w:t>段推动监测预报工作高质量发展。创新专家跟踪服务机制和模式，充分发挥专家在科技引领，标准规范、鉴定评估、标本制作、趋势分析等方面的优势。</w:t>
      </w:r>
    </w:p>
    <w:p>
      <w:pPr>
        <w:widowControl/>
        <w:ind w:firstLine="64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3.4 突出重点，服务行业。</w:t>
      </w:r>
      <w:r>
        <w:rPr>
          <w:rFonts w:hint="eastAsia" w:ascii="仿宋_GB2312" w:hAnsi="仿宋_GB2312" w:eastAsia="仿宋_GB2312" w:cs="仿宋_GB2312"/>
          <w:color w:val="000000"/>
          <w:sz w:val="32"/>
          <w:szCs w:val="32"/>
          <w:lang w:val="en-US"/>
        </w:rPr>
        <w:t>以主要草原生物灾害为导向，重点查明危</w:t>
      </w:r>
      <w:r>
        <w:rPr>
          <w:rFonts w:hint="eastAsia" w:ascii="仿宋_GB2312" w:hAnsi="仿宋_GB2312" w:eastAsia="仿宋_GB2312" w:cs="仿宋_GB2312"/>
          <w:sz w:val="32"/>
          <w:szCs w:val="32"/>
          <w:lang w:val="en-US"/>
        </w:rPr>
        <w:t>害我省草原</w:t>
      </w:r>
      <w:r>
        <w:rPr>
          <w:rFonts w:hint="eastAsia" w:ascii="仿宋_GB2312" w:hAnsi="仿宋_GB2312" w:eastAsia="仿宋_GB2312" w:cs="仿宋_GB2312"/>
          <w:color w:val="000000"/>
          <w:sz w:val="32"/>
          <w:szCs w:val="32"/>
          <w:lang w:val="en-US"/>
        </w:rPr>
        <w:t>资源的主要有害生物种类、分布和危害程度。紧紧围绕行业实际需要，推进监测调查规范化、标准化，注重监测调查方法的优化、简化，减轻工作量，提高工作效率。</w:t>
      </w:r>
    </w:p>
    <w:p>
      <w:pPr>
        <w:widowControl/>
        <w:ind w:firstLine="64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4 普查任务</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4.1 组织开展全省范围内草原有害</w:t>
      </w:r>
      <w:r>
        <w:rPr>
          <w:rFonts w:hint="eastAsia" w:ascii="仿宋_GB2312" w:hAnsi="仿宋_GB2312" w:eastAsia="仿宋_GB2312" w:cs="仿宋_GB2312"/>
          <w:sz w:val="32"/>
          <w:szCs w:val="32"/>
          <w:lang w:val="en-US"/>
        </w:rPr>
        <w:t>生物普查，查明我省草原有害</w:t>
      </w:r>
      <w:r>
        <w:rPr>
          <w:rFonts w:hint="eastAsia" w:ascii="仿宋_GB2312" w:hAnsi="仿宋_GB2312" w:eastAsia="仿宋_GB2312" w:cs="仿宋_GB2312"/>
          <w:color w:val="000000"/>
          <w:sz w:val="32"/>
          <w:szCs w:val="32"/>
          <w:lang w:val="en-US"/>
        </w:rPr>
        <w:t>生物发生种类、面积、危害程度等，明晰我省草原有害生物空间分布及特征。</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4.2 在普</w:t>
      </w:r>
      <w:r>
        <w:rPr>
          <w:rFonts w:hint="eastAsia" w:ascii="仿宋_GB2312" w:hAnsi="仿宋_GB2312" w:eastAsia="仿宋_GB2312" w:cs="仿宋_GB2312"/>
          <w:sz w:val="32"/>
          <w:szCs w:val="32"/>
          <w:lang w:val="en-US"/>
        </w:rPr>
        <w:t>查的基础上开展我省草原有害生物危险性评估，提出全省草原有害生物防治工作重心布局及防控策略</w:t>
      </w:r>
      <w:r>
        <w:rPr>
          <w:rFonts w:hint="eastAsia" w:ascii="仿宋_GB2312" w:hAnsi="仿宋_GB2312" w:eastAsia="仿宋_GB2312" w:cs="仿宋_GB2312"/>
          <w:color w:val="000000"/>
          <w:sz w:val="32"/>
          <w:szCs w:val="32"/>
          <w:lang w:val="en-US"/>
        </w:rPr>
        <w:t>。</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4.3 探索建立符合我省实际的草原有害生物监测预报组织管理模式。</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4.4 完善我省草原有害生物监测调查和预测预报技术标准体系。</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4.5 构建草原生物灾害监测预报信息传输网络，完善草原重大生物灾害遥感监测、预警、评估以及灾害应急辅助决策系统。</w:t>
      </w:r>
    </w:p>
    <w:p>
      <w:pPr>
        <w:widowControl/>
        <w:ind w:firstLine="640"/>
        <w:rPr>
          <w:rFonts w:ascii="黑体" w:hAnsi="黑体" w:eastAsia="黑体" w:cs="黑体"/>
          <w:sz w:val="32"/>
          <w:szCs w:val="32"/>
          <w:lang w:val="en-US"/>
        </w:rPr>
      </w:pPr>
      <w:r>
        <w:rPr>
          <w:rFonts w:hint="eastAsia" w:ascii="黑体" w:hAnsi="黑体" w:eastAsia="黑体" w:cs="黑体"/>
          <w:sz w:val="32"/>
          <w:szCs w:val="32"/>
          <w:lang w:val="en-US"/>
        </w:rPr>
        <w:t>5 时间安排</w:t>
      </w:r>
    </w:p>
    <w:p>
      <w:pPr>
        <w:widowControl/>
        <w:ind w:firstLine="640"/>
        <w:rPr>
          <w:rFonts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5.1 前期准备阶段（2021年4月底前）</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sz w:val="32"/>
          <w:szCs w:val="32"/>
          <w:lang w:val="en-US"/>
        </w:rPr>
        <w:t>制定印发草原有害生物普查工作实施方案和技术方案，成立普查领导小组和专家小组，举办普查技术培训。各市要结合实际，制定本辖区草原有害生物普查工作实施方案，明确普查工作组织形式和</w:t>
      </w:r>
      <w:r>
        <w:rPr>
          <w:rFonts w:hint="eastAsia" w:ascii="仿宋_GB2312" w:hAnsi="仿宋_GB2312" w:eastAsia="仿宋_GB2312" w:cs="仿宋_GB2312"/>
          <w:color w:val="000000"/>
          <w:sz w:val="32"/>
          <w:szCs w:val="32"/>
          <w:lang w:val="en-US"/>
        </w:rPr>
        <w:t>承担主体，做好普查相关材料和设备物资准备工作。</w:t>
      </w:r>
    </w:p>
    <w:p>
      <w:pPr>
        <w:widowControl/>
        <w:ind w:firstLine="64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5.2 组织实施阶段（2021年5月－2022年12月）</w:t>
      </w:r>
    </w:p>
    <w:p>
      <w:pPr>
        <w:widowControl/>
        <w:ind w:firstLine="640"/>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5.2.</w:t>
      </w: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本底调查。收集整理本辖区内草原生物灾害历史统计数据和相关图文资料，历年草原鼠虫害路线调查和定位观测资料，相关科研资料，集成建立数据库，勾绘有害生物分布初步界线，制定踏查路线和标准地布设方案。</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w:t>
      </w:r>
      <w:r>
        <w:rPr>
          <w:rFonts w:hint="eastAsia" w:ascii="仿宋_GB2312" w:hAnsi="仿宋_GB2312" w:eastAsia="仿宋_GB2312" w:cs="仿宋_GB2312"/>
          <w:sz w:val="32"/>
          <w:szCs w:val="32"/>
          <w:lang w:val="en-US"/>
        </w:rPr>
        <w:t>2.2外业</w:t>
      </w:r>
      <w:r>
        <w:rPr>
          <w:rFonts w:hint="eastAsia" w:ascii="仿宋_GB2312" w:hAnsi="仿宋_GB2312" w:eastAsia="仿宋_GB2312" w:cs="仿宋_GB2312"/>
          <w:color w:val="000000"/>
          <w:sz w:val="32"/>
          <w:szCs w:val="32"/>
          <w:lang w:val="en-US"/>
        </w:rPr>
        <w:t>调查。按照普查技术方案要求，各市、县（市、区）要组织开展外业调查，同步制作电子标本和实物标本。电子标本通过调查APP采集、整理和归类。2021年度要点面结合，在全面普查的基础上，突出开展20个重点普查县（市、区），其中张家口市7个，承德市5个，石家庄市和保定市各2个，邯郸市、邢台市、唐山市和秦皇岛市各1个县的草原有害生物普查工作。</w:t>
      </w:r>
    </w:p>
    <w:p>
      <w:pPr>
        <w:widowControl/>
        <w:ind w:firstLine="64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w:t>
      </w:r>
      <w:r>
        <w:rPr>
          <w:rFonts w:hint="eastAsia" w:ascii="仿宋_GB2312" w:hAnsi="仿宋_GB2312" w:eastAsia="仿宋_GB2312" w:cs="仿宋_GB2312"/>
          <w:sz w:val="32"/>
          <w:szCs w:val="32"/>
          <w:lang w:val="en-US"/>
        </w:rPr>
        <w:t>2.3 内业处理。各市林业和草原主管部门完成辖区行政区域内草原有害生物普查结果</w:t>
      </w:r>
      <w:r>
        <w:rPr>
          <w:rFonts w:hint="eastAsia" w:ascii="仿宋_GB2312" w:hAnsi="仿宋_GB2312" w:eastAsia="仿宋_GB2312" w:cs="仿宋_GB2312"/>
          <w:color w:val="000000"/>
          <w:sz w:val="32"/>
          <w:szCs w:val="32"/>
          <w:lang w:val="en-US"/>
        </w:rPr>
        <w:t>报告和工作报告，报送到省林业和草原局草原管理处和防治检疫站。期间每年12月15日前报送实物标本、普查结果和进展情况报告。</w:t>
      </w:r>
    </w:p>
    <w:p>
      <w:pPr>
        <w:widowControl/>
        <w:ind w:firstLine="64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5.3 成果形成阶段（2023年1月-12月）</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完成本级行政区草原有害生物普查报告，建立各级行政区草原有害生物标本库（包括影像资料），完成本地区主要草原有害生物发生趋势及风险评估报告，完成本级行政区草原有害生物名录及其分布图，编制出版《全省主要草原有害生物图册》。</w:t>
      </w:r>
    </w:p>
    <w:p>
      <w:pPr>
        <w:widowControl/>
        <w:spacing w:line="560" w:lineRule="exact"/>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6 保障措施</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6.1 加强组织领导。</w:t>
      </w:r>
      <w:r>
        <w:rPr>
          <w:rFonts w:hint="eastAsia" w:ascii="仿宋_GB2312" w:hAnsi="仿宋_GB2312" w:eastAsia="仿宋_GB2312" w:cs="仿宋_GB2312"/>
          <w:sz w:val="32"/>
          <w:szCs w:val="32"/>
          <w:lang w:val="en-US"/>
        </w:rPr>
        <w:t>按照“全国统一领导、地方分级负责、各方共同参与”的原则，省局成立普查领导小组，负责普查工作的组织领导和协调解决重大问题。</w:t>
      </w:r>
      <w:r>
        <w:rPr>
          <w:rFonts w:hint="eastAsia" w:ascii="仿宋_GB2312" w:hAnsi="仿宋_GB2312" w:eastAsia="仿宋_GB2312" w:cs="仿宋_GB2312"/>
          <w:color w:val="000000"/>
          <w:sz w:val="32"/>
          <w:szCs w:val="32"/>
          <w:lang w:val="en-US"/>
        </w:rPr>
        <w:t>普查领导小组下设办公室，办公室设在省林业和草原局草原管理处，会同省林业和草原有害生物防治检疫站具体负责普查工作的日常管理、协调部署、业务指导和监督检查等工作。有关市、县（市、区）林业和草原主管部门要高度重视普查工作，健全组织领导和日常工作机制，设立相应普查领导小组及其办公室，明确各部门职责和分工，加强领导，强化组织协调和支持保障作用，解决普查中遇到的困难和问题，认真组织好本地区普查实施工作，确保圆满完成普查工作任务。</w:t>
      </w:r>
    </w:p>
    <w:p>
      <w:pPr>
        <w:widowControl/>
        <w:spacing w:line="560" w:lineRule="exact"/>
        <w:ind w:firstLine="640" w:firstLineChars="200"/>
        <w:rPr>
          <w:rFonts w:ascii="仿宋_GB2312" w:hAnsi="仿宋_GB2312" w:eastAsia="仿宋_GB2312" w:cs="仿宋_GB2312"/>
          <w:color w:val="FF0000"/>
          <w:sz w:val="32"/>
          <w:szCs w:val="32"/>
          <w:lang w:val="en-US"/>
        </w:rPr>
      </w:pPr>
      <w:r>
        <w:rPr>
          <w:rFonts w:hint="eastAsia" w:ascii="楷体_GB2312" w:hAnsi="楷体_GB2312" w:eastAsia="楷体_GB2312" w:cs="楷体_GB2312"/>
          <w:color w:val="000000"/>
          <w:sz w:val="32"/>
          <w:szCs w:val="32"/>
          <w:lang w:val="en-US"/>
        </w:rPr>
        <w:t>6.2 强化科技支撑。</w:t>
      </w:r>
      <w:r>
        <w:rPr>
          <w:rFonts w:hint="eastAsia" w:ascii="仿宋_GB2312" w:hAnsi="仿宋_GB2312" w:eastAsia="仿宋_GB2312" w:cs="仿宋_GB2312"/>
          <w:color w:val="000000"/>
          <w:sz w:val="32"/>
          <w:szCs w:val="32"/>
          <w:lang w:val="en-US"/>
        </w:rPr>
        <w:t>要牢固树立创新意识，坚持用大数据、信息化思维统筹做好普查工作的设计，确保普查工作高水平高起点开展，形成高质量成果。省林业和草原局成立普查专家小组，负责提供普查技术指导和物种鉴定等。各有关市、县（市、区）也要成立相应专家小组，保障普查工作顺利开展。</w:t>
      </w:r>
    </w:p>
    <w:p>
      <w:pPr>
        <w:widowControl/>
        <w:spacing w:line="560" w:lineRule="exact"/>
        <w:ind w:firstLine="640" w:firstLineChars="200"/>
        <w:rPr>
          <w:rFonts w:ascii="仿宋_GB2312" w:hAnsi="仿宋_GB2312" w:eastAsia="仿宋_GB2312" w:cs="仿宋_GB2312"/>
          <w:color w:val="FF0000"/>
          <w:sz w:val="32"/>
          <w:szCs w:val="32"/>
          <w:lang w:val="en-US"/>
        </w:rPr>
      </w:pPr>
      <w:r>
        <w:rPr>
          <w:rFonts w:hint="eastAsia" w:ascii="楷体_GB2312" w:hAnsi="楷体_GB2312" w:eastAsia="楷体_GB2312" w:cs="楷体_GB2312"/>
          <w:color w:val="000000"/>
          <w:sz w:val="32"/>
          <w:szCs w:val="32"/>
          <w:lang w:val="en-US"/>
        </w:rPr>
        <w:t>6.3</w:t>
      </w:r>
      <w:r>
        <w:rPr>
          <w:rFonts w:hint="eastAsia" w:ascii="楷体_GB2312" w:hAnsi="楷体_GB2312" w:eastAsia="楷体_GB2312" w:cs="楷体_GB2312"/>
          <w:sz w:val="32"/>
          <w:szCs w:val="32"/>
          <w:lang w:val="en-US"/>
        </w:rPr>
        <w:t>创新普查机制。</w:t>
      </w:r>
      <w:r>
        <w:rPr>
          <w:rFonts w:hint="eastAsia" w:ascii="仿宋_GB2312" w:hAnsi="仿宋_GB2312" w:eastAsia="仿宋_GB2312" w:cs="仿宋_GB2312"/>
          <w:color w:val="000000"/>
          <w:sz w:val="32"/>
          <w:szCs w:val="32"/>
          <w:lang w:val="en-US"/>
        </w:rPr>
        <w:t>突出重点，以点带面，完成全省草原有害生物普查工作。本次普查实行专业普查方式，采取市统一组织，市林草主管部门组织成立市、县专业技术人员组成的普查专业队，集中开展普查。或由市林草主管部门通过引入社会力量，购买社会化服务，由专业公司（组织、单位）承担普查工作。市、县</w:t>
      </w:r>
      <w:r>
        <w:rPr>
          <w:rFonts w:hint="eastAsia" w:ascii="仿宋_GB2312" w:hAnsi="仿宋_GB2312" w:eastAsia="仿宋_GB2312" w:cs="仿宋_GB2312"/>
          <w:color w:val="000000"/>
          <w:sz w:val="32"/>
          <w:szCs w:val="32"/>
        </w:rPr>
        <w:t>履行草原有害生物防治职责单位的工作人员</w:t>
      </w:r>
      <w:r>
        <w:rPr>
          <w:rFonts w:hint="eastAsia" w:ascii="仿宋_GB2312" w:hAnsi="仿宋_GB2312" w:eastAsia="仿宋_GB2312" w:cs="仿宋_GB2312"/>
          <w:color w:val="000000"/>
          <w:sz w:val="32"/>
          <w:szCs w:val="32"/>
          <w:lang w:val="en-US"/>
        </w:rPr>
        <w:t>，要熟悉普查技术和工作流程，积极参与普查全过程，达到锻炼基层监</w:t>
      </w:r>
      <w:r>
        <w:rPr>
          <w:rFonts w:ascii="仿宋_GB2312" w:hAnsi="仿宋_GB2312" w:eastAsia="仿宋_GB2312" w:cs="仿宋_GB2312"/>
          <w:color w:val="000000"/>
          <w:sz w:val="32"/>
          <w:szCs w:val="32"/>
          <w:lang w:val="en-US"/>
        </w:rPr>
        <w:t>测预报队伍</w:t>
      </w:r>
      <w:r>
        <w:rPr>
          <w:rFonts w:hint="eastAsia" w:ascii="仿宋_GB2312" w:hAnsi="仿宋_GB2312" w:eastAsia="仿宋_GB2312" w:cs="仿宋_GB2312"/>
          <w:color w:val="000000"/>
          <w:sz w:val="32"/>
          <w:szCs w:val="32"/>
          <w:lang w:val="en-US"/>
        </w:rPr>
        <w:t>的目的。</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 xml:space="preserve">6.4 </w:t>
      </w:r>
      <w:r>
        <w:rPr>
          <w:rFonts w:hint="eastAsia" w:ascii="楷体_GB2312" w:hAnsi="楷体_GB2312" w:eastAsia="楷体_GB2312" w:cs="楷体_GB2312"/>
          <w:sz w:val="32"/>
          <w:szCs w:val="32"/>
          <w:lang w:val="en-US"/>
        </w:rPr>
        <w:t>保障经费投入。</w:t>
      </w:r>
      <w:r>
        <w:rPr>
          <w:rFonts w:hint="eastAsia" w:ascii="仿宋_GB2312" w:hAnsi="仿宋_GB2312" w:eastAsia="仿宋_GB2312" w:cs="仿宋_GB2312"/>
          <w:sz w:val="32"/>
          <w:szCs w:val="32"/>
          <w:lang w:val="en-US"/>
        </w:rPr>
        <w:t>为保障普查工作顺利开展，</w:t>
      </w:r>
      <w:r>
        <w:rPr>
          <w:rFonts w:hint="eastAsia" w:ascii="仿宋_GB2312" w:hAnsi="仿宋_GB2312" w:eastAsia="仿宋_GB2312" w:cs="仿宋_GB2312"/>
          <w:color w:val="000000"/>
          <w:sz w:val="32"/>
          <w:szCs w:val="32"/>
          <w:lang w:val="en-US"/>
        </w:rPr>
        <w:t>各市、县（市、区）要积极争取本级政府和相关部门的经费支持，充分利用日常业务工作资源完成此次普查任务。</w:t>
      </w:r>
      <w:r>
        <w:rPr>
          <w:rFonts w:hint="eastAsia" w:ascii="仿宋_GB2312" w:hAnsi="仿宋_GB2312" w:eastAsia="仿宋_GB2312" w:cs="仿宋_GB2312"/>
          <w:sz w:val="32"/>
          <w:szCs w:val="32"/>
          <w:lang w:val="en-US"/>
        </w:rPr>
        <w:t>省级以上安排的草原有害生物普查相关专项资金，重点用于普查所</w:t>
      </w:r>
      <w:r>
        <w:rPr>
          <w:rFonts w:hint="eastAsia" w:ascii="仿宋_GB2312" w:hAnsi="仿宋_GB2312" w:eastAsia="仿宋_GB2312" w:cs="仿宋_GB2312"/>
          <w:color w:val="000000"/>
          <w:sz w:val="32"/>
          <w:szCs w:val="32"/>
          <w:lang w:val="en-US"/>
        </w:rPr>
        <w:t>需仪器设备、交通工具、监测材料的购置租赁和业务委托、技术指导、宣传培训、社会化服务购买等支出。</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6.5 加强宣传培训。</w:t>
      </w:r>
      <w:r>
        <w:rPr>
          <w:rFonts w:hint="eastAsia" w:ascii="仿宋_GB2312" w:hAnsi="仿宋_GB2312" w:eastAsia="仿宋_GB2312" w:cs="仿宋_GB2312"/>
          <w:color w:val="000000"/>
          <w:sz w:val="32"/>
          <w:szCs w:val="32"/>
          <w:lang w:val="en-US"/>
        </w:rPr>
        <w:t>要充分利用新闻媒体，广泛宣传，营造普查氛围，提高民众参与度。要深度挖掘基层先进事迹和典型人物，通过表彰活动影响带动普查工作深入进行。要强化技术培训，分层分级组织实施，确保基层普查人员准确掌握普查工作的组织安排、方法步骤和技术要求，努力提升普查队伍素质水平。</w:t>
      </w:r>
    </w:p>
    <w:p>
      <w:pPr>
        <w:widowControl/>
        <w:spacing w:line="560" w:lineRule="exact"/>
        <w:rPr>
          <w:rFonts w:hint="eastAsia" w:eastAsia="宋体"/>
          <w:b/>
          <w:bCs/>
          <w:sz w:val="32"/>
          <w:szCs w:val="32"/>
          <w:lang w:val="en-US" w:eastAsia="zh-CN"/>
        </w:rPr>
      </w:pPr>
      <w:r>
        <w:rPr>
          <w:rFonts w:hint="eastAsia"/>
          <w:b/>
          <w:bCs/>
          <w:color w:val="000000"/>
          <w:sz w:val="32"/>
          <w:szCs w:val="32"/>
          <w:lang w:val="en-US"/>
        </w:rPr>
        <w:t>附件</w:t>
      </w:r>
      <w:r>
        <w:rPr>
          <w:rFonts w:hint="eastAsia"/>
          <w:b/>
          <w:bCs/>
          <w:color w:val="000000"/>
          <w:sz w:val="32"/>
          <w:szCs w:val="32"/>
          <w:lang w:val="en-US" w:eastAsia="zh-CN"/>
        </w:rPr>
        <w:t>2</w:t>
      </w:r>
    </w:p>
    <w:p>
      <w:pPr>
        <w:widowControl/>
        <w:spacing w:line="560" w:lineRule="exact"/>
        <w:ind w:firstLine="883" w:firstLineChars="200"/>
        <w:jc w:val="center"/>
        <w:rPr>
          <w:b/>
          <w:bCs/>
          <w:color w:val="000000"/>
          <w:sz w:val="44"/>
          <w:szCs w:val="44"/>
          <w:lang w:val="en-US"/>
        </w:rPr>
      </w:pPr>
      <w:r>
        <w:rPr>
          <w:rFonts w:hint="eastAsia"/>
          <w:b/>
          <w:bCs/>
          <w:color w:val="000000"/>
          <w:sz w:val="44"/>
          <w:szCs w:val="44"/>
          <w:lang w:val="en-US"/>
        </w:rPr>
        <w:t>河北省草原有害生物普查技术方案</w:t>
      </w:r>
    </w:p>
    <w:p>
      <w:pPr>
        <w:widowControl/>
        <w:spacing w:line="560" w:lineRule="exact"/>
        <w:ind w:firstLine="640" w:firstLineChars="200"/>
        <w:jc w:val="center"/>
        <w:rPr>
          <w:rFonts w:ascii="仿宋_GB2312" w:hAnsi="仿宋_GB2312" w:eastAsia="仿宋_GB2312" w:cs="仿宋_GB2312"/>
          <w:color w:val="000000"/>
          <w:sz w:val="32"/>
          <w:szCs w:val="32"/>
          <w:lang w:val="en-US"/>
        </w:rPr>
      </w:pP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根据《国家林业和草原局关于开展全国草原有害生物普查工作的通知》（办草字〔2020</w:t>
      </w:r>
      <w:r>
        <w:rPr>
          <w:rFonts w:hint="eastAsia" w:ascii="仿宋_GB2312" w:hAnsi="仿宋_GB2312" w:eastAsia="仿宋_GB2312" w:cs="仿宋_GB2312"/>
          <w:sz w:val="32"/>
          <w:szCs w:val="32"/>
          <w:lang w:val="en-US"/>
        </w:rPr>
        <w:t>〕87号）和《全国草原有害生物普查技术方案》（林草防总[2021]11号），为切实做好全省草原有害生物普查工作，特制订本技术方案。</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lang w:val="en-US"/>
        </w:rPr>
        <w:t>1.普查范围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《中华人民共和国草原法》（2013年修正）所界定的全省范围内的草原，即天然草原（包括草地、草山和草坡）和人工草地（包括改良草地和退耕还草地，不包括农业</w:t>
      </w:r>
      <w:r>
        <w:rPr>
          <w:rFonts w:hint="eastAsia" w:ascii="仿宋_GB2312" w:hAnsi="仿宋_GB2312" w:eastAsia="仿宋_GB2312" w:cs="仿宋_GB2312"/>
          <w:sz w:val="32"/>
          <w:szCs w:val="32"/>
          <w:lang w:val="en-US"/>
        </w:rPr>
        <w:t>用草地</w:t>
      </w:r>
      <w:r>
        <w:rPr>
          <w:rFonts w:hint="eastAsia" w:ascii="仿宋_GB2312" w:hAnsi="仿宋_GB2312" w:eastAsia="仿宋_GB2312" w:cs="仿宋_GB2312"/>
          <w:color w:val="000000"/>
          <w:sz w:val="32"/>
          <w:szCs w:val="32"/>
          <w:lang w:val="en-US"/>
        </w:rPr>
        <w:t>和城镇草地）。</w:t>
      </w:r>
    </w:p>
    <w:p>
      <w:pPr>
        <w:widowControl/>
        <w:spacing w:line="560" w:lineRule="exact"/>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2. 普查对象和内容</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color w:val="000000"/>
          <w:sz w:val="32"/>
          <w:szCs w:val="32"/>
          <w:lang w:val="en-US"/>
        </w:rPr>
        <w:t>2.1普查对象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危害草原植被及其产品并造成经济或生态损失的有害生物，包括啮齿类动物、昆虫、植物病害及病原微生物、毒害草等。</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2.2普查内容</w:t>
      </w:r>
    </w:p>
    <w:p>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val="en-US"/>
        </w:rPr>
        <w:t>2.2.1草原有害生物种类（包括亚种和株系）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规范的中文名称和拉丁学名参照《中国动物志》、《中国植物志》、《中国真菌志》、《中国牧草真菌病害名录》等。常见的啮齿类动物、昆虫、植物病害及病原微生物和毒害草名录见附录1。</w:t>
      </w:r>
    </w:p>
    <w:p>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val="en-US"/>
        </w:rPr>
        <w:t>2.2.2寄主植物</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指有害生物危害的植物种类（含转主寄主）。规范的中文名称和拉丁学名参照《中国植物分类与代码》（GB/T14467—1993）。寄主植物种类少于５种的要全部列出，多于5种的，按照不同科、属，至少列出主要5种优势种。</w:t>
      </w:r>
    </w:p>
    <w:p>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val="en-US"/>
        </w:rPr>
        <w:t>2.2.3危害部位或危害方式</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危害部位指寄主植物的叶部、茎部、根部、果实和种子等。危害方式指有毒、侵占、攀缘、寄生等。</w:t>
      </w:r>
    </w:p>
    <w:p>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val="en-US"/>
        </w:rPr>
        <w:t>2.2.4种群密度</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以“种”为分类单位，指调查单位面积内同一种物种的数量。各类有害生物种群密度统计单位见附录2。</w:t>
      </w:r>
    </w:p>
    <w:p>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val="en-US"/>
        </w:rPr>
        <w:t>2.2.5发生范围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指某种草原有害生物发生的区域。发生范围以乡镇行政区为单位进行统计。</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2.2.6分布范围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指有文献记载、相关历史资料记录或普查中新发现的某种有害生物的分布区域。分布范围以乡镇级行政区为单位进行统计。</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2.2.7发生面积</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某种有害生物发生时，统计每个种群密度在乡镇行政区范围内的寄主植物面积。发生面积可通过草原有害生物普查信息管理系统填报或者通过绘制图斑自动生成。</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2.2.8入侵物种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对于从国（境）外传入的入侵种或省级行政区外传入的草原有害生物，调查其传入地、寄主植物、危害部位、分布范围、发现时间、传入途径、发生面积，以及对当地经济、生态、社会影响等。外来入侵物种种类名录及调查汇总表分别见附录3和附录4。</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2.2.9草地类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按照《草地分类》（NY/T2997-2016）标准共划分为9种草地类。包括温性草原类、高寒草原类、湿性荒漠类、高寒荒漠类、暖性灌草丛类、热性灌草丛类、低地草甸类、山地草甸类和高寒草甸类。</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lang w:val="en-US"/>
        </w:rPr>
        <w:t>3 调查方法</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3.1基本思路</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以全国第三次草地资源清查数据及各地草原有害生物历史数据为</w:t>
      </w:r>
      <w:r>
        <w:rPr>
          <w:rFonts w:hint="eastAsia" w:ascii="仿宋_GB2312" w:hAnsi="仿宋_GB2312" w:eastAsia="仿宋_GB2312" w:cs="仿宋_GB2312"/>
          <w:sz w:val="32"/>
          <w:szCs w:val="32"/>
          <w:lang w:val="en-US"/>
        </w:rPr>
        <w:t>本</w:t>
      </w:r>
      <w:r>
        <w:rPr>
          <w:rFonts w:hint="eastAsia" w:ascii="仿宋_GB2312" w:hAnsi="仿宋_GB2312" w:eastAsia="仿宋_GB2312" w:cs="仿宋_GB2312"/>
          <w:color w:val="000000"/>
          <w:sz w:val="32"/>
          <w:szCs w:val="32"/>
          <w:lang w:val="en-US"/>
        </w:rPr>
        <w:t>底，基于草原有害生物普查信息管理系统及其APP，以人工地面调查为主要方式，全面系统获取草原有害生物的分布数据、标本、样品及相关资料。同时提倡有条件地区应积极应用卫星遥感、无人机遥感、雷达等现代先进技术。</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3.2基本方法</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3.2.1踏查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以草原有害生物发生的危害为导向，通过发现危害来追溯草原有害生物。通过线路踏查，发现草原有害生物发生及总体分布状况；通过建立标准地的方式，进一步确定草原有害生物的种类、寄主植物、危害部位、种群密度及发生面积等。</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3.2.1.1踏查准备</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（1）踏查前，查阅当地草原有害生物防治部门历史档案资料，有目的的访问或咨询当地农牧民或草原工作者，了解本地草原有害生物的种类、分布、发生历期及发生情况，为踏查路线设计做好准备。</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（2）准备好野外调查所需物品和设备。具体清单见附录5。</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3.2.1.2路线规划</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（1）以县级行政区为单位，根据当地草原资源分布状况、地形地貌及草地类等规划踏查路线。应重点考虑受人为干扰严重、草地退化严重、生态环境状况不良的草地或历史上草原有害生物频发的草地。</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（2）踏查路线要具有代表性，避免重复，且涵盖当地所有乡镇和草地类。可利用草原中现有的道路作为踏查路线。每次踏查前均需规划踏查路线。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（3）一般情况下，路线踏查面积应不小于当地草原面积3%。</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3.2.1.3路线设置</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（1）县级草原有害生物防治部门利用草原有害生物普查信息管理系统，将路线上的必经点设置为打卡点，打卡点自动连接为踏查路线。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（2）县级草原有害生物防治部门通过草原有害生物普查信息管理系统，录入每条踏查路线属性信息。踏查路线属性信息具体内容见附录6。</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3.2.1.4踏查时间</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根据草原有害生物的生物学特性，应选择在草原有害生物的发生盛期或症状显露期进行。草原有害生物踏查时间一般为每年3月-10月为宜。</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3.2.1.5踏查频次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在草原有害生物发生季节，至少开展一次踏查，可根据当地不同种类有害生物实际发生情况增加踏查频次。</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3.2.1.6踏查内容</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踏查时应注意线路两边100m范围内各项因子的变化，踏查草原有害生物的种类和分布，初步判断发生情况。</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3.2.1.7踏查点及踏查结果上报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（1）踏查点是指在踏查过程中，进行数据上报的地点。同一踏查路线上的不同草地类至少要设置一个踏查点。相邻两个踏查点之间距离不大于10km。</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（2）每个踏查点踏查结果信息均通过草原有害生物普查信息管理系统填报，填报内容见《踏查记录表》（附录7）。</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3.2.2标准地调查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（1）踏查过程中发现草原有害生物发生危害需设立标准地进行详细调查。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（2）对于已知的草原有害生物重点发生区域需设立标准地进行详细调查。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（3）发现入侵种有害生物或本地区首次发现的有害生物种类时，需设立标准地进行详细调查。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3.2.2.1标准地设置要求</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（1）满足标准样地设立条件的所有乡镇级行政区域均应设置标准地，同一草地类至少要设置1个标准地。</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（2）一般情况下，标准地累计面积应不小于该乡镇草原面积的0.3‰。草原昆虫、植物病害、毒害草及</w:t>
      </w:r>
      <w:r>
        <w:rPr>
          <w:rFonts w:hint="eastAsia" w:ascii="仿宋_GB2312" w:hAnsi="仿宋_GB2312" w:eastAsia="仿宋_GB2312" w:cs="仿宋_GB2312"/>
          <w:sz w:val="32"/>
          <w:szCs w:val="32"/>
          <w:lang w:val="en-US"/>
        </w:rPr>
        <w:t>地下</w:t>
      </w:r>
      <w:r>
        <w:rPr>
          <w:rFonts w:hint="eastAsia" w:ascii="仿宋_GB2312" w:hAnsi="仿宋_GB2312" w:eastAsia="仿宋_GB2312" w:cs="仿宋_GB2312"/>
          <w:color w:val="000000"/>
          <w:sz w:val="32"/>
          <w:szCs w:val="32"/>
          <w:lang w:val="en-US"/>
        </w:rPr>
        <w:t>啮齿动物调查标准地设置面积应为0.25hm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-0.5hm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（3）每个标准地信息通过草原有害生物普查信息系统填报，填报内容见《标准地信息登记表》（附录8）。</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3.2.2.2标准地取样方法</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昆虫、植物病害及毒害草标准样地调查常用样方法或样线法，常用取样方法包括五点取样法、对角线取样法、平行线取样法、棋盘式取样法和“Z”字形取样法。根据样地实际情况选择取样方法，具体取样方法见附录9。</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3.2.2.3啮齿类动物调查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具体参照《啮齿动物调查技术规范》（见附录10）。</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地面啮齿动物调查。一般采用夹捕法。确定鼠害发生区后，每50个鼠夹为一夹线，沿直线布放，夹距5m。与其平行间隔50m（如有障碍物可根据情况大于50m）布放另1条夹线，依次布放多条夹线，特殊地形可适当调整夹</w:t>
      </w:r>
      <w:r>
        <w:rPr>
          <w:rFonts w:hint="eastAsia" w:ascii="仿宋_GB2312" w:hAnsi="仿宋_GB2312" w:eastAsia="仿宋_GB2312" w:cs="仿宋_GB2312"/>
          <w:sz w:val="32"/>
          <w:szCs w:val="32"/>
          <w:lang w:val="en-US"/>
        </w:rPr>
        <w:t>距。发生区内每次布放不少于300个鼠夹，布放2天后调查发生区内啮</w:t>
      </w:r>
      <w:r>
        <w:rPr>
          <w:rFonts w:hint="eastAsia" w:ascii="仿宋_GB2312" w:hAnsi="仿宋_GB2312" w:eastAsia="仿宋_GB2312" w:cs="仿宋_GB2312"/>
          <w:color w:val="000000"/>
          <w:sz w:val="32"/>
          <w:szCs w:val="32"/>
          <w:lang w:val="en-US"/>
        </w:rPr>
        <w:t>齿动物种类、草地类、有效夹数及捕鼠总数，统计标准地内啮齿动物夹捕率和发生面积，调查结果通过草原有害生物普查信息管理系统填报。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（2）地下啮齿动物调查。采用土丘密度法。标准地面积不小于0.25hm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，分别记录标准地内新土丘数和净捕害鼠总数，统计标准地内土丘密度（%）、土丘系数（%）和发生面积，调查结果通过草原有害生物普查信息管理系统填报。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3.2.2.4草原昆虫调查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具体参照《草原昆虫调查技术规范》（见附录11）。</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（1）地面昆虫调查。</w:t>
      </w:r>
      <w:r>
        <w:rPr>
          <w:rFonts w:hint="eastAsia" w:ascii="仿宋_GB2312" w:hAnsi="仿宋_GB2312" w:eastAsia="仿宋_GB2312" w:cs="仿宋_GB2312"/>
          <w:color w:val="000000"/>
          <w:sz w:val="32"/>
          <w:szCs w:val="32"/>
          <w:lang w:val="en-US"/>
        </w:rPr>
        <w:t>一般采用样方法。每块标准地面积0.3hm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左右，标准地内设立样方数量不少于10个，每个样方面积1m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。调查每个样方内所有昆虫种类、种群密度（头/m2）、寄主植物、草地类，采集昆虫现场影像照片，统计每块标准地内同一种类平均种群密度和发生面积，通过草原有害生物普查信息管理系统填报。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（2）低空飞行昆虫调查。</w:t>
      </w:r>
      <w:r>
        <w:rPr>
          <w:rFonts w:hint="eastAsia" w:ascii="仿宋_GB2312" w:hAnsi="仿宋_GB2312" w:eastAsia="仿宋_GB2312" w:cs="仿宋_GB2312"/>
          <w:color w:val="000000"/>
          <w:sz w:val="32"/>
          <w:szCs w:val="32"/>
          <w:lang w:val="en-US"/>
        </w:rPr>
        <w:t>一般采用样线法。每块标准地面积0.5hm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左右，在标准地内设置不少于5条样线，每条样线长度在50m-100m为宜。采用扫网法进行调查，沿着样线以大约为0.5m/s的速度行走，左右挥动180°为一复网，每10复网为一组，每个样线取5组-10组数据（50-100复网）。统计每组复网内所有虫害种类、种群密度（头/十复网）、寄主植物、草地类，采集昆虫现场影像照片，统计每块标准地内同一种类平均种群密度和发生面积，通过草原有害生物普查信息管理系统填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（3）叶甲类、鳞翅目幼虫等昆虫调查。</w:t>
      </w:r>
      <w:r>
        <w:rPr>
          <w:rFonts w:hint="eastAsia" w:ascii="仿宋_GB2312" w:hAnsi="仿宋_GB2312" w:eastAsia="仿宋_GB2312" w:cs="仿宋_GB2312"/>
          <w:color w:val="000000"/>
          <w:sz w:val="32"/>
          <w:szCs w:val="32"/>
          <w:lang w:val="en-US"/>
        </w:rPr>
        <w:t>一般采用标准株/株丛法。每块标准地面积0.25hm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左右，每块标准地内选择不少于10个取样点，每个取样点随机选择至少10株或10株丛，统计每株或每株丛上的所有昆虫种类、种群密度（头/株、头/株丛）、寄主植物、草地类，采集昆虫现场影像照片，统计每块标准地内同一种类平均种群密度和发生面积，通过草原有害生物普查信息管理系统填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（4）辅助调查。</w:t>
      </w:r>
      <w:r>
        <w:rPr>
          <w:rFonts w:hint="eastAsia" w:ascii="仿宋_GB2312" w:hAnsi="仿宋_GB2312" w:eastAsia="仿宋_GB2312" w:cs="仿宋_GB2312"/>
          <w:color w:val="000000"/>
          <w:sz w:val="32"/>
          <w:szCs w:val="32"/>
          <w:lang w:val="en-US"/>
        </w:rPr>
        <w:t>辅助调查方法不能取代标准地调查，可作为踏查的补充以及昆虫标本采集的方法。</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①诱虫灯调查。</w:t>
      </w:r>
      <w:r>
        <w:rPr>
          <w:rFonts w:hint="eastAsia" w:ascii="仿宋_GB2312" w:hAnsi="仿宋_GB2312" w:eastAsia="仿宋_GB2312" w:cs="仿宋_GB2312"/>
          <w:color w:val="000000"/>
          <w:sz w:val="32"/>
          <w:szCs w:val="32"/>
          <w:lang w:val="en-US"/>
        </w:rPr>
        <w:t>诱虫灯的布设、开灯时间以及诱捕时段和昆虫收集等具体方法可参照产品使用说明书使用。记录诱捕到的昆虫种类、数量、地点等信息，采集现场影像照片，诱捕结果通过草原有害生物普查信息管理系统填报，填报内容见《诱虫灯（引诱剂）调查记录表》（附录12）。</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②引诱剂调查。</w:t>
      </w:r>
      <w:r>
        <w:rPr>
          <w:rFonts w:hint="eastAsia" w:ascii="仿宋_GB2312" w:hAnsi="仿宋_GB2312" w:eastAsia="仿宋_GB2312" w:cs="仿宋_GB2312"/>
          <w:color w:val="000000"/>
          <w:sz w:val="32"/>
          <w:szCs w:val="32"/>
          <w:lang w:val="en-US"/>
        </w:rPr>
        <w:t>根据引诱剂有效距离合理挂放诱捕器（诱捕剂），并在引诱剂的有效期内进行诱捕昆虫数量调查。具体使用方法可参照产品使用说明书。记录诱捕到的昆虫种类、数量、地点等信息，采集现场影像照片，诱捕结果通过草原有害生物普查信息管理系统填报，填报内容见《诱虫灯（引诱剂）调查记录表》（附录12）。</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③黄板（黄盘）诱集法。</w:t>
      </w:r>
      <w:r>
        <w:rPr>
          <w:rFonts w:hint="eastAsia" w:ascii="仿宋_GB2312" w:hAnsi="仿宋_GB2312" w:eastAsia="仿宋_GB2312" w:cs="仿宋_GB2312"/>
          <w:color w:val="000000"/>
          <w:sz w:val="32"/>
          <w:szCs w:val="32"/>
          <w:lang w:val="en-US"/>
        </w:rPr>
        <w:t>根据黄板（黄盘）诱集器使用说明书要求，合理布设并统计诱集结果，记录诱集到的昆虫种类、数量、地点等信息，采集现场影像照片，诱集结果通过草原有害生物普查信息管理系统填报，填报内容见《黄板（黄盘）诱集记录表》（附录13）。</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④飞行阻隔器。</w:t>
      </w:r>
      <w:r>
        <w:rPr>
          <w:rFonts w:hint="eastAsia" w:ascii="仿宋_GB2312" w:hAnsi="仿宋_GB2312" w:eastAsia="仿宋_GB2312" w:cs="仿宋_GB2312"/>
          <w:color w:val="000000"/>
          <w:sz w:val="32"/>
          <w:szCs w:val="32"/>
          <w:lang w:val="en-US"/>
        </w:rPr>
        <w:t>飞行阻隔器具体布设及使用方法参照产品使用说明书。记录收集到的昆虫种类、数量、地点等信息，采集现场影像照片，收集结果填入通过草原有害生物普查信息管理系统填报，填报内容见《飞行阻隔器收集记录表》（附录14）。</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⑤高空吸虫塔。</w:t>
      </w:r>
      <w:r>
        <w:rPr>
          <w:rFonts w:hint="eastAsia" w:ascii="仿宋_GB2312" w:hAnsi="仿宋_GB2312" w:eastAsia="仿宋_GB2312" w:cs="仿宋_GB2312"/>
          <w:color w:val="000000"/>
          <w:sz w:val="32"/>
          <w:szCs w:val="32"/>
          <w:lang w:val="en-US"/>
        </w:rPr>
        <w:t>具体使用及操作方法参照产品使用说明书。记录采集到的昆虫种类、数量、地点等信息，采集现场影像照片，采集结果通过草原有害生物普查信息管理系统填报，填报内容见《高空吸虫塔采集记录表》（附录15）。</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⑥陷阱收集法。</w:t>
      </w:r>
      <w:r>
        <w:rPr>
          <w:rFonts w:hint="eastAsia" w:ascii="仿宋_GB2312" w:hAnsi="仿宋_GB2312" w:eastAsia="仿宋_GB2312" w:cs="仿宋_GB2312"/>
          <w:color w:val="000000"/>
          <w:sz w:val="32"/>
          <w:szCs w:val="32"/>
          <w:lang w:val="en-US"/>
        </w:rPr>
        <w:t>根据陷阱收集器操作说明进行调查。首次布设后静置6个月，之后每年的3月中旬、6月中旬和9月中旬各收集一次。详细记录昆虫种类、数量、地点等信息，采集现场影像照片，通过草原有害生物普查信息管理系统上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3.2.2.5毒害草调查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具体参照《毒害草调查技术规范》（见附录16）。</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采用样方法进行调查。每块标准地面积0.5hm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，每块标准地内设置不少于5个样方，每个草本样方面积为1m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，每个灌木样方25m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调查样方中的毒害草种类、密度（株/m2）及盖度（%）、危害方式、草地类、气象数据，采集影像照片，计算并统计每块标准地内同一种类平均种群密度及盖度和发生面积，通过草原有害生物普查信息管理系统上报。</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3.2.2.6病害调查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具体参照《草原病害调查统计规范》（见附录17）。</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（1）病害均匀发生区域或多种草原病害混合发生区域，采用样方法。每块标准地面积0.5hm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，每块标准地内至少设置10个样方，每个样方面积1m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每种草地类至少设置3个样方。调查样方中病害种类、寄主植物、草地类、感病位置、发病率，采集影像照片，计算并统计每块标准地内同一种类平均发病率和发生面积，通过草原有害生物普查信息管理系统上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（2）根腐病或高大寄主植物病害发生区域，采用样线法。每块标准地面积0.5hm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sz w:val="32"/>
          <w:szCs w:val="32"/>
          <w:lang w:val="en-US"/>
        </w:rPr>
        <w:t>，在每个标准地内至少设置10条样线（标准绳），每条样线（标准绳）长度10m，每种草地类至少设置3条样线。以10m长的测绳为一个统计单位，置于草丛上部，用钢卷尺量出测量感染病株丛的植冠在样线上所跨长度。记录每条样线上病害种类、寄主植物、草地类、感病位置、发病率，采集影像照片，计算并统计每块标准地内同一种类平均发病率和发生面积，通过草原有害生物普查信息管理系统上报。</w:t>
      </w:r>
    </w:p>
    <w:p>
      <w:pPr>
        <w:widowControl/>
        <w:spacing w:line="560" w:lineRule="exact"/>
        <w:ind w:firstLine="640" w:firstLineChars="200"/>
        <w:rPr>
          <w:rFonts w:ascii="黑体" w:hAnsi="黑体" w:eastAsia="黑体" w:cs="黑体"/>
          <w:sz w:val="32"/>
          <w:szCs w:val="32"/>
          <w:lang w:val="en-US"/>
        </w:rPr>
      </w:pPr>
      <w:r>
        <w:rPr>
          <w:rFonts w:hint="eastAsia" w:ascii="黑体" w:hAnsi="黑体" w:eastAsia="黑体" w:cs="黑体"/>
          <w:sz w:val="32"/>
          <w:szCs w:val="32"/>
          <w:lang w:val="en-US"/>
        </w:rPr>
        <w:t>4 标本采集和影像拍摄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标本采集总体要求：</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（1）调查发现的所有有害生物种类均要采集标本。</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（2）对新发现的有害生物标本，要按照各类标本采集要求采集存好，为后续鉴定做好储备。</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（3）对于不能现场鉴定的有害生物种类，要按照各类标本采集有关要求采集标本，记录采集信息，带回实验室鉴定。</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4.1啮齿动物标本采集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啮齿动物标本采集要严格按照有关要求进行。啮齿动物标本分为生态标本和组织标本两类。地上啮齿动物采集采用夹捕法捕获标本，地下啮齿动物采集采用弓箭法或活捕笼法捕获标本。将所有采集到的啮齿动物标本，放入存储器中，粘贴标本标签后，带回实验室保存好。标本制作要在专家指导下开展，也可委托专家帮助制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啮齿动物标本采集及制作参照《啮齿动物标本采集、制作及保存技术规范》（见附录18）。</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4.2昆虫标本采集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调查发现的各类昆虫均要采集标本。将所有采集到的昆虫标本，放入标本保存专用容器中，粘贴标本标签后，返回实验室后制作标本。昆虫标本采集参照《昆虫标本采集、制作及保存技术规范》（见附录19）。</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4.3病害标本采集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调查发现的所有病害均要采集标本。每种病害的标本数不少于3份（叶片、茎秆或整个植株）。将所有采集到的病害标本，放入标本夹中，粘贴标本标签后，返回实验室制作标本。病害标本采集参照《病害标本采集、制作及保存技术规范》（见附录20）。</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4.4毒害草标本采集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调查发现的各类毒害草均要采集标本。每种类毒害草完整植株（包括根、茎、叶、花、果实和种子）标本数不少于3份。将所有采集到的毒害草标本，铺展放入存储器标本夹中，粘贴标本标签后，返回实验室制作标本。不确定的植物，需要采集植物的叶片，用于分子鉴定。叶片放入装有变色硅胶的密封塑料袋中，每天更换硅胶，直至鉴定完成。毒害草标本采集参照《毒害草标本采集、制作及保存技术规范》（见附录21）。</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4.5标本采集记录与编码</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标本采集记录和编码原则如下：</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标本采集记录采用统一格式标签，由采集人员填写，标签内容包括编码、采集时间、采集地点、寄主植物名称、经纬度信息、海拔高度、草地类、采集人姓名等，将填写好的标签系在对应的标本上，同时在记录表上登记。标本信息登记表具体格式见附录22。</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（2）标本编码为13位数，具体操作规范见《草原有害生物普查信息编码规范》（见附录23）。</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（3）标本编码也可通过草原有害生物普查信息管理系统APP自动生成电子标本标签，可现场</w:t>
      </w:r>
      <w:r>
        <w:rPr>
          <w:rFonts w:hint="eastAsia" w:ascii="仿宋_GB2312" w:hAnsi="仿宋_GB2312" w:eastAsia="仿宋_GB2312" w:cs="仿宋_GB2312"/>
          <w:sz w:val="32"/>
          <w:szCs w:val="32"/>
          <w:lang w:val="en-US"/>
        </w:rPr>
        <w:t>把</w:t>
      </w:r>
      <w:r>
        <w:rPr>
          <w:rFonts w:hint="eastAsia" w:ascii="仿宋_GB2312" w:hAnsi="仿宋_GB2312" w:eastAsia="仿宋_GB2312" w:cs="仿宋_GB2312"/>
          <w:color w:val="000000"/>
          <w:sz w:val="32"/>
          <w:szCs w:val="32"/>
          <w:lang w:val="en-US"/>
        </w:rPr>
        <w:t>手持二维码打印机直接打印的不干胶标本</w:t>
      </w:r>
      <w:r>
        <w:rPr>
          <w:rFonts w:hint="eastAsia" w:ascii="仿宋_GB2312" w:hAnsi="仿宋_GB2312" w:eastAsia="仿宋_GB2312" w:cs="仿宋_GB2312"/>
          <w:sz w:val="32"/>
          <w:szCs w:val="32"/>
          <w:lang w:val="en-US"/>
        </w:rPr>
        <w:t>标签，贴到对应</w:t>
      </w:r>
      <w:r>
        <w:rPr>
          <w:rFonts w:hint="eastAsia" w:ascii="仿宋_GB2312" w:hAnsi="仿宋_GB2312" w:eastAsia="仿宋_GB2312" w:cs="仿宋_GB2312"/>
          <w:color w:val="000000"/>
          <w:sz w:val="32"/>
          <w:szCs w:val="32"/>
          <w:lang w:val="en-US"/>
        </w:rPr>
        <w:t>的标本储存容器上。</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（4）同一采集时间、地点、寄主植物、采集人姓名，采集同一种有害生物，不论数量多少，均使用同一编码。</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4.6影像拍摄及要求</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现场调查时，可利用普查APP进行影像采集和上传；也可使用高清数码相机（或单反、微单相机）和数码摄像机拍摄影像资料，但在拍摄影像资料前需先拍摄踏查点或样地编码信息，便于影像后期整理。照片统一采用JPG格式，像素在800万以上，数码摄像机统一采用PAL制式。影像资料作为工作过程证明材料和有害生物鉴定参考材料。</w:t>
      </w:r>
    </w:p>
    <w:p>
      <w:pPr>
        <w:widowControl/>
        <w:spacing w:line="560" w:lineRule="exact"/>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5 内业整理</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5.1标本制作、保存与鉴定</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5.1.1标本制作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各种类有害生物标本制作具体参照附录18-21。</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5.1.2标本保存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对制作好的标本要入库保存，入库时进行超低温冷冻或药物熏蒸处理，定期检查，控制温湿度，注意避光防尘、防虫、防霉和防鼠等。当地无法长期保存的，</w:t>
      </w:r>
      <w:r>
        <w:rPr>
          <w:rFonts w:hint="eastAsia" w:ascii="仿宋_GB2312" w:hAnsi="仿宋_GB2312" w:eastAsia="仿宋_GB2312" w:cs="仿宋_GB2312"/>
          <w:sz w:val="32"/>
          <w:szCs w:val="32"/>
          <w:lang w:val="en-US"/>
        </w:rPr>
        <w:t>交由上级林业和草原主管部门指派地点保存。</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5.1.3标本鉴定</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标本鉴定采用传统形态学方法和现代分子生物学手段。对于野外采集的标本，根据形态特征或利用分子生物学方法进行鉴定；对于尚不具备明显特征的幼虫、蛹或病原微生物等，可通过饲养或实验室培养获得鉴定特征后再进行种类鉴定。对无法确定的有害生物种类或者寄</w:t>
      </w:r>
      <w:r>
        <w:rPr>
          <w:rFonts w:hint="eastAsia" w:ascii="仿宋_GB2312" w:hAnsi="仿宋_GB2312" w:eastAsia="仿宋_GB2312" w:cs="仿宋_GB2312"/>
          <w:sz w:val="32"/>
          <w:szCs w:val="32"/>
          <w:lang w:val="en-US"/>
        </w:rPr>
        <w:t>主植物种类，应及时送至省林业和草原有害生物防治检疫站或专家鉴定。省站不能鉴定的有害生物种类，按相关技术要求送至国家林草局指定的鉴定机构鉴定。</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5.2影像整理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通过普查信息管理系统APP拍摄的影像不需要命名，可直接上传。但通过相机拍摄的影像资料需要命名，并通过普查信息管理系统后台上传。</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5.2.1影像资料整理与命名</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按有害生物种类进行整理，每种类单独建立文件夹（若为虫害，文件夹内再区分雌成虫、雄成虫、幼虫、蛹、卵、危害状等）。影像资料命名规则为：踏查点编码或调查样地编码+有害生物名称+图片序号。</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5.2.2影像资料保存与上传</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命名后的影像资料，按照调查日期排列方式存储在电脑中，通过草原有害生物普查信息管理系统后台进行批量上传。</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5.3数据报送与审核</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县级草原有害生物防治机构以乡镇行政区为单位统计汇总普查数据，并通过草原有害生物普查信息管理系统上报。普查数据内容包括路线踏查记录、标准地调查记录、标本采集及鉴定记录、影像资料等。普查数据采取逐级上报和审核方式，县级上报至市级，市级上报至省级，省级审核汇总后上报至国家。审核内容包括任务审核和数据审核两部分。</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5.3.1任务审核</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通过草原有害生物普查信息管理系统进行任务审核。县级草原有害生物防治机构对已执行的普查任务进行审核，包括踏查路线完成率、标准样地调查任务完成率、标本采集任务完成率等。对符合要求的普查任务点击“审核通过”。省级负责对下一级任务审核结果按照一定的抽查比例进行抽查审核。</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5.3.2数据审核</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市级对本辖区所有县普查数据进行逐一审核，符合要求的点击“审核通过”，不符合要求的点击“审核不通过”并给出修改意见。</w:t>
      </w:r>
    </w:p>
    <w:p>
      <w:pPr>
        <w:widowControl/>
        <w:spacing w:line="560" w:lineRule="exact"/>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6 普查材料报送</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6.1报送方式</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实行逐级上报，由县级上报市级，市上报至省级，省级汇总上报至国家。</w:t>
      </w:r>
    </w:p>
    <w:p>
      <w:pPr>
        <w:widowControl/>
        <w:spacing w:line="560" w:lineRule="exact"/>
        <w:ind w:firstLine="640" w:firstLineChars="200"/>
        <w:rPr>
          <w:rFonts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6.2报送内容</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（1）标本、影像资料。</w:t>
      </w:r>
      <w:r>
        <w:rPr>
          <w:rFonts w:hint="eastAsia" w:ascii="仿宋_GB2312" w:hAnsi="仿宋_GB2312" w:eastAsia="仿宋_GB2312" w:cs="仿宋_GB2312"/>
          <w:color w:val="000000"/>
          <w:sz w:val="32"/>
          <w:szCs w:val="32"/>
          <w:lang w:val="en-US"/>
        </w:rPr>
        <w:t>所有的有害生物标本和影像资料，每种至少一套上交至国家林草局林草防治总站。</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rPr>
        <w:t>（2）工作报告和普查结果报告。</w:t>
      </w:r>
      <w:r>
        <w:rPr>
          <w:rFonts w:hint="eastAsia" w:ascii="仿宋_GB2312" w:hAnsi="仿宋_GB2312" w:eastAsia="仿宋_GB2312" w:cs="仿宋_GB2312"/>
          <w:color w:val="000000"/>
          <w:sz w:val="32"/>
          <w:szCs w:val="32"/>
          <w:lang w:val="en-US"/>
        </w:rPr>
        <w:t>工作总结报告内容包括：普查的组织形式、保障措施、主要做法、问题和建议等；普查结果报告内容包括：本辖区草原有害生物种类及其发生分布情况、草原有害生物发生趋势分析及主要草原有害生物风险评估报告。</w:t>
      </w:r>
    </w:p>
    <w:p>
      <w:pPr>
        <w:widowControl/>
        <w:spacing w:line="560" w:lineRule="exact"/>
        <w:ind w:firstLine="640" w:firstLineChars="20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7 普查预期成果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（1）完成本级行政区草原有害生物普查报告。</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（2）建</w:t>
      </w:r>
      <w:r>
        <w:rPr>
          <w:rFonts w:hint="eastAsia" w:ascii="仿宋_GB2312" w:hAnsi="仿宋_GB2312" w:eastAsia="仿宋_GB2312" w:cs="仿宋_GB2312"/>
          <w:sz w:val="32"/>
          <w:szCs w:val="32"/>
          <w:lang w:val="en-US"/>
        </w:rPr>
        <w:t>立本级行政</w:t>
      </w:r>
      <w:r>
        <w:rPr>
          <w:rFonts w:hint="eastAsia" w:ascii="仿宋_GB2312" w:hAnsi="仿宋_GB2312" w:eastAsia="仿宋_GB2312" w:cs="仿宋_GB2312"/>
          <w:color w:val="000000"/>
          <w:sz w:val="32"/>
          <w:szCs w:val="32"/>
          <w:lang w:val="en-US"/>
        </w:rPr>
        <w:t>区草原有害生物标本库（包括影像资料）。</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（3）完成本地区主要草原有害生物发生趋势及风险评估报告。</w:t>
      </w:r>
    </w:p>
    <w:p>
      <w:pPr>
        <w:widowControl/>
        <w:spacing w:line="560" w:lineRule="exact"/>
        <w:ind w:firstLine="640" w:firstLineChars="200"/>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（4）完成本级行政区草原有害生物名录及其分布图。</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（5）编制出版《全省主要草原有害生物图册》。</w:t>
      </w:r>
    </w:p>
    <w:p>
      <w:pPr>
        <w:pStyle w:val="5"/>
        <w:tabs>
          <w:tab w:val="left" w:pos="2515"/>
        </w:tabs>
        <w:spacing w:before="78" w:line="292" w:lineRule="auto"/>
        <w:ind w:right="3698"/>
        <w:rPr>
          <w:spacing w:val="19"/>
        </w:rPr>
      </w:pPr>
    </w:p>
    <w:p>
      <w:pPr>
        <w:pStyle w:val="5"/>
        <w:tabs>
          <w:tab w:val="left" w:pos="2515"/>
        </w:tabs>
        <w:spacing w:before="78" w:line="292" w:lineRule="auto"/>
        <w:ind w:right="3698"/>
        <w:rPr>
          <w:spacing w:val="19"/>
        </w:rPr>
      </w:pPr>
      <w:r>
        <w:rPr>
          <w:rFonts w:hint="eastAsia"/>
          <w:spacing w:val="19"/>
        </w:rPr>
        <w:t>第三章合同主要条款</w:t>
      </w:r>
    </w:p>
    <w:p>
      <w:pPr>
        <w:adjustRightInd w:val="0"/>
        <w:snapToGrid w:val="0"/>
        <w:spacing w:line="360" w:lineRule="auto"/>
        <w:ind w:firstLine="662" w:firstLineChars="276"/>
        <w:rPr>
          <w:b/>
          <w:spacing w:val="12"/>
          <w:sz w:val="24"/>
        </w:rPr>
      </w:pPr>
      <w:r>
        <w:rPr>
          <w:rFonts w:hint="eastAsia"/>
          <w:sz w:val="24"/>
        </w:rPr>
        <w:t xml:space="preserve">  </w:t>
      </w:r>
      <w:bookmarkStart w:id="23" w:name="_Toc314062396"/>
    </w:p>
    <w:bookmarkEnd w:id="23"/>
    <w:p>
      <w:pPr>
        <w:pStyle w:val="15"/>
        <w:numPr>
          <w:ilvl w:val="0"/>
          <w:numId w:val="3"/>
        </w:numPr>
        <w:jc w:val="center"/>
        <w:rPr>
          <w:b/>
          <w:bCs/>
          <w:color w:val="000000"/>
          <w:sz w:val="28"/>
        </w:rPr>
      </w:pPr>
      <w:r>
        <w:rPr>
          <w:rFonts w:hint="eastAsia"/>
          <w:b/>
          <w:bCs/>
          <w:color w:val="000000"/>
          <w:sz w:val="28"/>
        </w:rPr>
        <w:t>合 同 协 议 书</w:t>
      </w:r>
    </w:p>
    <w:p>
      <w:pPr>
        <w:tabs>
          <w:tab w:val="left" w:pos="2730"/>
        </w:tabs>
        <w:spacing w:line="300" w:lineRule="exact"/>
        <w:rPr>
          <w:sz w:val="24"/>
        </w:rPr>
      </w:pPr>
      <w:r>
        <w:rPr>
          <w:rFonts w:hint="eastAsia"/>
          <w:sz w:val="24"/>
        </w:rPr>
        <w:t xml:space="preserve">甲方（招标人）：                      </w:t>
      </w:r>
    </w:p>
    <w:p>
      <w:pPr>
        <w:spacing w:line="300" w:lineRule="exact"/>
        <w:rPr>
          <w:sz w:val="24"/>
        </w:rPr>
      </w:pPr>
    </w:p>
    <w:p>
      <w:pPr>
        <w:spacing w:line="300" w:lineRule="exact"/>
        <w:rPr>
          <w:sz w:val="24"/>
        </w:rPr>
      </w:pPr>
      <w:r>
        <w:rPr>
          <w:rFonts w:hint="eastAsia"/>
          <w:sz w:val="24"/>
        </w:rPr>
        <w:t xml:space="preserve">乙方（中标人）：                      </w:t>
      </w:r>
    </w:p>
    <w:p>
      <w:pPr>
        <w:pStyle w:val="15"/>
        <w:spacing w:line="440" w:lineRule="exact"/>
        <w:ind w:firstLine="480" w:firstLineChars="200"/>
        <w:rPr>
          <w:sz w:val="24"/>
          <w:szCs w:val="24"/>
        </w:rPr>
      </w:pPr>
      <w:r>
        <w:rPr>
          <w:rFonts w:hint="eastAsia"/>
          <w:sz w:val="24"/>
          <w:szCs w:val="24"/>
        </w:rPr>
        <w:t xml:space="preserve">为了保护供需各方合法权益,根据《中华人民共和国政府采购法》、《中华人民共和国合同法》等相关法律、法规的规定，并严格遵循政府招标项目的相关规定, 经甲乙双方协商一致，订立本合同。  </w:t>
      </w:r>
    </w:p>
    <w:p>
      <w:pPr>
        <w:pStyle w:val="15"/>
        <w:spacing w:line="440" w:lineRule="exact"/>
        <w:ind w:firstLine="480" w:firstLineChars="200"/>
        <w:rPr>
          <w:sz w:val="24"/>
          <w:szCs w:val="24"/>
        </w:rPr>
      </w:pPr>
      <w:r>
        <w:rPr>
          <w:rFonts w:hint="eastAsia"/>
          <w:sz w:val="24"/>
          <w:szCs w:val="24"/>
        </w:rPr>
        <w:t>一、项目清单及合同金额（详见报价表，附后）</w:t>
      </w:r>
    </w:p>
    <w:p>
      <w:pPr>
        <w:pStyle w:val="15"/>
        <w:spacing w:line="440" w:lineRule="exact"/>
        <w:ind w:firstLine="480" w:firstLineChars="200"/>
        <w:rPr>
          <w:sz w:val="24"/>
          <w:szCs w:val="24"/>
        </w:rPr>
      </w:pPr>
      <w:r>
        <w:rPr>
          <w:rFonts w:hint="eastAsia"/>
          <w:sz w:val="24"/>
          <w:szCs w:val="24"/>
        </w:rPr>
        <w:t>1. 项目编号：</w:t>
      </w:r>
      <w:r>
        <w:rPr>
          <w:rFonts w:hint="eastAsia"/>
          <w:sz w:val="24"/>
          <w:szCs w:val="24"/>
          <w:u w:val="single"/>
        </w:rPr>
        <w:t xml:space="preserve">                </w:t>
      </w:r>
      <w:r>
        <w:rPr>
          <w:rFonts w:hint="eastAsia"/>
          <w:sz w:val="24"/>
          <w:szCs w:val="24"/>
        </w:rPr>
        <w:t>。</w:t>
      </w:r>
    </w:p>
    <w:p>
      <w:pPr>
        <w:pStyle w:val="15"/>
        <w:spacing w:line="440" w:lineRule="exact"/>
        <w:ind w:firstLine="480" w:firstLineChars="200"/>
        <w:rPr>
          <w:sz w:val="24"/>
          <w:szCs w:val="24"/>
        </w:rPr>
      </w:pPr>
      <w:r>
        <w:rPr>
          <w:rFonts w:hint="eastAsia"/>
          <w:sz w:val="24"/>
          <w:szCs w:val="24"/>
        </w:rPr>
        <w:t>2. 项目名称：</w:t>
      </w:r>
      <w:r>
        <w:rPr>
          <w:rFonts w:hint="eastAsia"/>
          <w:sz w:val="24"/>
          <w:szCs w:val="24"/>
          <w:u w:val="single"/>
        </w:rPr>
        <w:t xml:space="preserve">                </w:t>
      </w:r>
      <w:r>
        <w:rPr>
          <w:rFonts w:hint="eastAsia"/>
          <w:sz w:val="24"/>
          <w:szCs w:val="24"/>
        </w:rPr>
        <w:t>。</w:t>
      </w:r>
    </w:p>
    <w:p>
      <w:pPr>
        <w:pStyle w:val="15"/>
        <w:spacing w:line="440" w:lineRule="exact"/>
        <w:ind w:firstLine="480" w:firstLineChars="200"/>
        <w:rPr>
          <w:sz w:val="24"/>
          <w:szCs w:val="24"/>
        </w:rPr>
      </w:pPr>
      <w:r>
        <w:rPr>
          <w:rFonts w:hint="eastAsia"/>
          <w:sz w:val="24"/>
          <w:szCs w:val="24"/>
        </w:rPr>
        <w:t>3. 具体内容：</w:t>
      </w:r>
      <w:r>
        <w:rPr>
          <w:rFonts w:hint="eastAsia"/>
          <w:sz w:val="24"/>
          <w:szCs w:val="24"/>
          <w:u w:val="single"/>
        </w:rPr>
        <w:t xml:space="preserve">                </w:t>
      </w:r>
      <w:r>
        <w:rPr>
          <w:rFonts w:hint="eastAsia"/>
          <w:sz w:val="24"/>
          <w:szCs w:val="24"/>
        </w:rPr>
        <w:t>。(详见乙方报价表)</w:t>
      </w:r>
    </w:p>
    <w:p>
      <w:pPr>
        <w:pStyle w:val="15"/>
        <w:spacing w:line="440" w:lineRule="exact"/>
        <w:ind w:firstLine="480" w:firstLineChars="200"/>
        <w:rPr>
          <w:sz w:val="24"/>
          <w:szCs w:val="24"/>
        </w:rPr>
      </w:pPr>
      <w:r>
        <w:rPr>
          <w:rFonts w:hint="eastAsia"/>
          <w:sz w:val="24"/>
          <w:szCs w:val="24"/>
        </w:rPr>
        <w:t>4. 合同金额：人民币</w:t>
      </w:r>
      <w:r>
        <w:rPr>
          <w:rFonts w:hint="eastAsia"/>
          <w:sz w:val="24"/>
          <w:szCs w:val="24"/>
          <w:u w:val="single"/>
        </w:rPr>
        <w:t xml:space="preserve">       </w:t>
      </w:r>
      <w:r>
        <w:rPr>
          <w:rFonts w:hint="eastAsia"/>
          <w:sz w:val="24"/>
          <w:szCs w:val="24"/>
        </w:rPr>
        <w:t>元 (大写：</w:t>
      </w:r>
      <w:r>
        <w:rPr>
          <w:rFonts w:hint="eastAsia"/>
          <w:sz w:val="24"/>
          <w:szCs w:val="24"/>
          <w:u w:val="single"/>
        </w:rPr>
        <w:t xml:space="preserve">        </w:t>
      </w:r>
      <w:r>
        <w:rPr>
          <w:rFonts w:hint="eastAsia"/>
          <w:sz w:val="24"/>
          <w:szCs w:val="24"/>
        </w:rPr>
        <w:t>)。</w:t>
      </w:r>
    </w:p>
    <w:p>
      <w:pPr>
        <w:pStyle w:val="15"/>
        <w:spacing w:line="440" w:lineRule="exact"/>
        <w:ind w:firstLine="480" w:firstLineChars="200"/>
        <w:rPr>
          <w:sz w:val="24"/>
          <w:szCs w:val="24"/>
        </w:rPr>
      </w:pPr>
      <w:r>
        <w:rPr>
          <w:rFonts w:hint="eastAsia"/>
          <w:sz w:val="24"/>
          <w:szCs w:val="24"/>
        </w:rPr>
        <w:t>二、付款方式及期限</w:t>
      </w:r>
    </w:p>
    <w:p>
      <w:pPr>
        <w:pStyle w:val="55"/>
        <w:spacing w:line="440" w:lineRule="exact"/>
        <w:ind w:firstLine="480"/>
        <w:rPr>
          <w:bCs/>
          <w:lang w:eastAsia="zh-CN"/>
        </w:rPr>
      </w:pPr>
      <w:r>
        <w:rPr>
          <w:rFonts w:hint="eastAsia"/>
          <w:lang w:eastAsia="zh-CN"/>
        </w:rPr>
        <w:t xml:space="preserve"> 双方协商</w:t>
      </w:r>
    </w:p>
    <w:p>
      <w:pPr>
        <w:pStyle w:val="15"/>
        <w:spacing w:line="440" w:lineRule="exact"/>
        <w:ind w:firstLine="480" w:firstLineChars="200"/>
        <w:rPr>
          <w:sz w:val="24"/>
          <w:szCs w:val="24"/>
        </w:rPr>
      </w:pPr>
      <w:r>
        <w:rPr>
          <w:rFonts w:hint="eastAsia"/>
          <w:sz w:val="24"/>
          <w:szCs w:val="24"/>
        </w:rPr>
        <w:t>三、交货时间、交货地点</w:t>
      </w:r>
    </w:p>
    <w:p>
      <w:pPr>
        <w:spacing w:line="440" w:lineRule="exact"/>
        <w:ind w:firstLine="480" w:firstLineChars="200"/>
        <w:rPr>
          <w:sz w:val="24"/>
        </w:rPr>
      </w:pPr>
      <w:r>
        <w:rPr>
          <w:rFonts w:hint="eastAsia"/>
          <w:sz w:val="24"/>
        </w:rPr>
        <w:t>1. 交货时间：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15"/>
        <w:spacing w:line="440" w:lineRule="exact"/>
        <w:ind w:firstLine="480" w:firstLineChars="200"/>
        <w:rPr>
          <w:sz w:val="24"/>
          <w:szCs w:val="24"/>
        </w:rPr>
      </w:pPr>
      <w:r>
        <w:rPr>
          <w:rFonts w:hint="eastAsia"/>
          <w:sz w:val="24"/>
          <w:szCs w:val="24"/>
        </w:rPr>
        <w:t>2. 交货地点：甲方指定地点；</w:t>
      </w:r>
    </w:p>
    <w:p>
      <w:pPr>
        <w:pStyle w:val="15"/>
        <w:spacing w:line="440" w:lineRule="exact"/>
        <w:ind w:firstLine="480" w:firstLineChars="200"/>
        <w:rPr>
          <w:sz w:val="24"/>
          <w:szCs w:val="24"/>
        </w:rPr>
      </w:pPr>
      <w:r>
        <w:rPr>
          <w:rFonts w:hint="eastAsia"/>
          <w:sz w:val="24"/>
          <w:szCs w:val="24"/>
        </w:rPr>
        <w:t>3.</w:t>
      </w:r>
      <w:r>
        <w:rPr>
          <w:rFonts w:hint="eastAsia"/>
          <w:color w:val="FF0000"/>
          <w:sz w:val="24"/>
          <w:szCs w:val="24"/>
        </w:rPr>
        <w:t xml:space="preserve"> </w:t>
      </w:r>
      <w:r>
        <w:rPr>
          <w:rFonts w:hint="eastAsia"/>
          <w:sz w:val="24"/>
          <w:szCs w:val="24"/>
        </w:rPr>
        <w:t>交付方式：免费运输、安装。</w:t>
      </w:r>
    </w:p>
    <w:p>
      <w:pPr>
        <w:pStyle w:val="15"/>
        <w:spacing w:line="440" w:lineRule="exact"/>
        <w:ind w:firstLine="480" w:firstLineChars="200"/>
        <w:rPr>
          <w:sz w:val="24"/>
          <w:szCs w:val="24"/>
        </w:rPr>
      </w:pPr>
      <w:r>
        <w:rPr>
          <w:rFonts w:hint="eastAsia"/>
          <w:sz w:val="24"/>
          <w:szCs w:val="24"/>
        </w:rPr>
        <w:t>四、合同条文</w:t>
      </w:r>
    </w:p>
    <w:p>
      <w:pPr>
        <w:pStyle w:val="15"/>
        <w:spacing w:line="440" w:lineRule="exact"/>
        <w:ind w:left="480" w:leftChars="218" w:firstLine="0" w:firstLineChars="0"/>
        <w:rPr>
          <w:sz w:val="24"/>
          <w:szCs w:val="24"/>
        </w:rPr>
      </w:pPr>
      <w:r>
        <w:rPr>
          <w:rFonts w:hint="eastAsia"/>
          <w:sz w:val="24"/>
          <w:szCs w:val="24"/>
        </w:rPr>
        <w:t>1、本合同甲乙双方必须遵守国家现行的合同法及国家的有关规定，并履行各自应负的责任。2、下列文件均为本合同不可分割的部分：</w:t>
      </w:r>
      <w:r>
        <w:rPr>
          <w:rFonts w:hint="eastAsia"/>
          <w:sz w:val="24"/>
          <w:szCs w:val="24"/>
        </w:rPr>
        <w:br w:type="textWrapping"/>
      </w:r>
      <w:r>
        <w:rPr>
          <w:rFonts w:hint="eastAsia"/>
          <w:sz w:val="24"/>
          <w:szCs w:val="24"/>
        </w:rPr>
        <w:t>（1） 合同书</w:t>
      </w:r>
    </w:p>
    <w:p>
      <w:pPr>
        <w:pStyle w:val="15"/>
        <w:spacing w:line="440" w:lineRule="exact"/>
        <w:ind w:firstLine="480" w:firstLineChars="200"/>
        <w:rPr>
          <w:sz w:val="24"/>
          <w:szCs w:val="24"/>
        </w:rPr>
      </w:pPr>
      <w:r>
        <w:rPr>
          <w:rFonts w:hint="eastAsia"/>
          <w:sz w:val="24"/>
          <w:szCs w:val="24"/>
        </w:rPr>
        <w:t>（2） 合同条款</w:t>
      </w:r>
    </w:p>
    <w:p>
      <w:pPr>
        <w:pStyle w:val="15"/>
        <w:spacing w:line="440" w:lineRule="exact"/>
        <w:ind w:firstLine="480" w:firstLineChars="200"/>
        <w:rPr>
          <w:sz w:val="24"/>
          <w:szCs w:val="24"/>
        </w:rPr>
      </w:pPr>
      <w:r>
        <w:rPr>
          <w:rFonts w:hint="eastAsia"/>
          <w:sz w:val="24"/>
          <w:szCs w:val="24"/>
        </w:rPr>
        <w:t>（3） 中标通知书</w:t>
      </w:r>
    </w:p>
    <w:p>
      <w:pPr>
        <w:pStyle w:val="15"/>
        <w:spacing w:line="440" w:lineRule="exact"/>
        <w:ind w:firstLine="480" w:firstLineChars="200"/>
        <w:rPr>
          <w:rFonts w:hint="eastAsia" w:eastAsia="宋体"/>
          <w:sz w:val="24"/>
          <w:szCs w:val="24"/>
          <w:lang w:eastAsia="zh-CN"/>
        </w:rPr>
      </w:pPr>
      <w:r>
        <w:rPr>
          <w:rFonts w:hint="eastAsia"/>
          <w:sz w:val="24"/>
          <w:szCs w:val="24"/>
        </w:rPr>
        <w:t>（4） 乙方递交的</w:t>
      </w:r>
      <w:r>
        <w:rPr>
          <w:rFonts w:hint="eastAsia"/>
          <w:sz w:val="24"/>
          <w:szCs w:val="24"/>
          <w:lang w:eastAsia="zh-CN"/>
        </w:rPr>
        <w:t>竞争性磋商文件</w:t>
      </w:r>
    </w:p>
    <w:p>
      <w:pPr>
        <w:pStyle w:val="15"/>
        <w:spacing w:line="440" w:lineRule="exact"/>
        <w:ind w:firstLine="480" w:firstLineChars="200"/>
        <w:rPr>
          <w:sz w:val="24"/>
          <w:szCs w:val="24"/>
        </w:rPr>
      </w:pPr>
      <w:r>
        <w:rPr>
          <w:rFonts w:hint="eastAsia"/>
          <w:sz w:val="24"/>
          <w:szCs w:val="24"/>
        </w:rPr>
        <w:t>（5） 招标文件</w:t>
      </w:r>
    </w:p>
    <w:p>
      <w:pPr>
        <w:pStyle w:val="15"/>
        <w:spacing w:line="440" w:lineRule="exact"/>
        <w:ind w:firstLine="480" w:firstLineChars="200"/>
        <w:rPr>
          <w:sz w:val="24"/>
          <w:szCs w:val="24"/>
        </w:rPr>
      </w:pPr>
      <w:r>
        <w:rPr>
          <w:rFonts w:hint="eastAsia"/>
          <w:sz w:val="24"/>
          <w:szCs w:val="24"/>
        </w:rPr>
        <w:t>（</w:t>
      </w:r>
      <w:r>
        <w:rPr>
          <w:sz w:val="24"/>
          <w:szCs w:val="24"/>
          <w:lang w:val="en-US"/>
        </w:rPr>
        <w:t>6</w:t>
      </w:r>
      <w:r>
        <w:rPr>
          <w:rFonts w:hint="eastAsia"/>
          <w:sz w:val="24"/>
          <w:szCs w:val="24"/>
        </w:rPr>
        <w:t>）</w:t>
      </w:r>
      <w:r>
        <w:rPr>
          <w:rFonts w:hint="eastAsia"/>
          <w:sz w:val="24"/>
          <w:szCs w:val="24"/>
          <w:lang w:val="en-US"/>
        </w:rPr>
        <w:t xml:space="preserve">  </w:t>
      </w:r>
      <w:r>
        <w:rPr>
          <w:rFonts w:hint="eastAsia"/>
          <w:sz w:val="24"/>
          <w:szCs w:val="24"/>
        </w:rPr>
        <w:t>履约保函</w:t>
      </w:r>
    </w:p>
    <w:p>
      <w:pPr>
        <w:pStyle w:val="15"/>
        <w:spacing w:line="440" w:lineRule="exact"/>
        <w:ind w:firstLine="480" w:firstLineChars="200"/>
        <w:rPr>
          <w:sz w:val="24"/>
          <w:szCs w:val="24"/>
        </w:rPr>
      </w:pPr>
      <w:r>
        <w:rPr>
          <w:rFonts w:hint="eastAsia"/>
          <w:sz w:val="24"/>
          <w:szCs w:val="24"/>
        </w:rPr>
        <w:t>双方有关的洽商、变更等书面协议或文件视为协议书的组成部分；</w:t>
      </w:r>
    </w:p>
    <w:p>
      <w:pPr>
        <w:pStyle w:val="15"/>
        <w:spacing w:line="440" w:lineRule="exact"/>
        <w:ind w:firstLine="480" w:firstLineChars="200"/>
        <w:rPr>
          <w:sz w:val="24"/>
          <w:szCs w:val="24"/>
        </w:rPr>
      </w:pPr>
      <w:r>
        <w:rPr>
          <w:rFonts w:hint="eastAsia"/>
          <w:sz w:val="24"/>
          <w:szCs w:val="24"/>
        </w:rPr>
        <w:t>3、上述文件应互为补充和解释，如有不清或互相矛盾之处，以上面所列顺序在前的为准；</w:t>
      </w:r>
    </w:p>
    <w:p>
      <w:pPr>
        <w:pStyle w:val="15"/>
        <w:spacing w:line="440" w:lineRule="exact"/>
        <w:rPr>
          <w:sz w:val="24"/>
          <w:szCs w:val="24"/>
        </w:rPr>
      </w:pPr>
      <w:r>
        <w:rPr>
          <w:rFonts w:hint="eastAsia"/>
          <w:sz w:val="24"/>
          <w:szCs w:val="24"/>
        </w:rPr>
        <w:t xml:space="preserve">    4、乙方应清楚了解所有协议的内容，任何对此等文件的不了解或漠视均不能使其免除遵守上述条文或规范的责任，因此产生的额外费用均不获考虑；</w:t>
      </w:r>
    </w:p>
    <w:p>
      <w:pPr>
        <w:pStyle w:val="15"/>
        <w:spacing w:line="440" w:lineRule="exact"/>
        <w:ind w:firstLine="480" w:firstLineChars="200"/>
        <w:rPr>
          <w:sz w:val="24"/>
          <w:szCs w:val="24"/>
        </w:rPr>
      </w:pPr>
      <w:r>
        <w:rPr>
          <w:rFonts w:hint="eastAsia"/>
          <w:sz w:val="24"/>
          <w:szCs w:val="24"/>
        </w:rPr>
        <w:t>5、乙方不得将上述文件（全部或部分地）作本协议以外的其它用途；</w:t>
      </w:r>
    </w:p>
    <w:p>
      <w:pPr>
        <w:pStyle w:val="15"/>
        <w:spacing w:line="440" w:lineRule="exact"/>
        <w:ind w:firstLine="480" w:firstLineChars="200"/>
        <w:rPr>
          <w:sz w:val="24"/>
          <w:szCs w:val="24"/>
        </w:rPr>
      </w:pPr>
      <w:r>
        <w:rPr>
          <w:rFonts w:hint="eastAsia"/>
          <w:sz w:val="24"/>
          <w:szCs w:val="24"/>
        </w:rPr>
        <w:t>五、履约验收</w:t>
      </w:r>
    </w:p>
    <w:p>
      <w:pPr>
        <w:pStyle w:val="15"/>
        <w:spacing w:line="440" w:lineRule="exact"/>
        <w:ind w:firstLine="480" w:firstLineChars="200"/>
        <w:rPr>
          <w:sz w:val="24"/>
        </w:rPr>
      </w:pPr>
      <w:r>
        <w:rPr>
          <w:rFonts w:hint="eastAsia"/>
          <w:sz w:val="24"/>
        </w:rPr>
        <w:t>1．乙方提供的产品为最新生产的正品，各项指标符合出产国检测标准和出厂标准，各项技术参数符合招标文件要求和乙方</w:t>
      </w:r>
      <w:r>
        <w:rPr>
          <w:rFonts w:hint="eastAsia"/>
          <w:sz w:val="24"/>
          <w:szCs w:val="24"/>
          <w:lang w:eastAsia="zh-CN"/>
        </w:rPr>
        <w:t>竞争性磋商文件</w:t>
      </w:r>
      <w:r>
        <w:rPr>
          <w:rFonts w:hint="eastAsia"/>
          <w:sz w:val="24"/>
        </w:rPr>
        <w:t>承诺；</w:t>
      </w:r>
    </w:p>
    <w:p>
      <w:pPr>
        <w:spacing w:line="440" w:lineRule="exact"/>
        <w:ind w:firstLine="480" w:firstLineChars="200"/>
        <w:rPr>
          <w:sz w:val="24"/>
        </w:rPr>
      </w:pPr>
      <w:r>
        <w:rPr>
          <w:rFonts w:hint="eastAsia"/>
          <w:sz w:val="24"/>
        </w:rPr>
        <w:t>2．乙方所交产品不符合规定或质量不合格的，由乙方负责包换，并承担换货而支付的一切费用。乙方不能调换的，按不能交货处理；</w:t>
      </w:r>
    </w:p>
    <w:p>
      <w:pPr>
        <w:spacing w:line="440" w:lineRule="exact"/>
        <w:ind w:firstLine="480" w:firstLineChars="200"/>
        <w:rPr>
          <w:sz w:val="24"/>
        </w:rPr>
      </w:pPr>
      <w:r>
        <w:rPr>
          <w:rFonts w:hint="eastAsia"/>
          <w:sz w:val="24"/>
        </w:rPr>
        <w:t>3．使用单位按国家相关标准和招标文件的相关要求自行组织有关人员验收。</w:t>
      </w:r>
    </w:p>
    <w:p>
      <w:pPr>
        <w:widowControl/>
        <w:spacing w:line="440" w:lineRule="exact"/>
        <w:ind w:firstLine="480" w:firstLineChars="200"/>
        <w:rPr>
          <w:sz w:val="24"/>
        </w:rPr>
      </w:pPr>
      <w:r>
        <w:rPr>
          <w:rFonts w:hint="eastAsia"/>
          <w:sz w:val="24"/>
        </w:rPr>
        <w:t>六、乙方在</w:t>
      </w:r>
      <w:r>
        <w:rPr>
          <w:rFonts w:hint="eastAsia"/>
          <w:sz w:val="24"/>
          <w:lang w:eastAsia="zh-CN"/>
        </w:rPr>
        <w:t>竞争性磋商文件</w:t>
      </w:r>
      <w:r>
        <w:rPr>
          <w:rFonts w:hint="eastAsia"/>
          <w:sz w:val="24"/>
        </w:rPr>
        <w:t>中的其它服务承诺。</w:t>
      </w:r>
    </w:p>
    <w:p>
      <w:pPr>
        <w:pStyle w:val="15"/>
        <w:spacing w:line="420" w:lineRule="exact"/>
        <w:ind w:firstLine="480" w:firstLineChars="200"/>
        <w:rPr>
          <w:sz w:val="24"/>
          <w:szCs w:val="24"/>
        </w:rPr>
      </w:pPr>
      <w:r>
        <w:rPr>
          <w:rFonts w:hint="eastAsia"/>
          <w:sz w:val="24"/>
          <w:szCs w:val="24"/>
        </w:rPr>
        <w:t>七、相关权利及义务</w:t>
      </w:r>
    </w:p>
    <w:p>
      <w:pPr>
        <w:pStyle w:val="15"/>
        <w:spacing w:line="420" w:lineRule="exact"/>
        <w:ind w:firstLine="480" w:firstLineChars="200"/>
        <w:rPr>
          <w:sz w:val="24"/>
          <w:szCs w:val="24"/>
        </w:rPr>
      </w:pPr>
      <w:r>
        <w:rPr>
          <w:rFonts w:hint="eastAsia"/>
          <w:sz w:val="24"/>
          <w:szCs w:val="24"/>
        </w:rPr>
        <w:t>1. 甲方在验收时对不符合</w:t>
      </w:r>
      <w:r>
        <w:rPr>
          <w:rFonts w:hint="eastAsia"/>
          <w:sz w:val="24"/>
          <w:szCs w:val="24"/>
          <w:lang w:eastAsia="zh-CN"/>
        </w:rPr>
        <w:t>竞争性磋商文件</w:t>
      </w:r>
      <w:r>
        <w:rPr>
          <w:rFonts w:hint="eastAsia"/>
          <w:sz w:val="24"/>
          <w:szCs w:val="24"/>
        </w:rPr>
        <w:t xml:space="preserve">要求的货物有权拒绝接收和追究违约责任； </w:t>
      </w:r>
    </w:p>
    <w:p>
      <w:pPr>
        <w:pStyle w:val="15"/>
        <w:spacing w:line="420" w:lineRule="exact"/>
        <w:ind w:firstLine="480" w:firstLineChars="200"/>
        <w:rPr>
          <w:sz w:val="24"/>
          <w:szCs w:val="24"/>
        </w:rPr>
      </w:pPr>
      <w:r>
        <w:rPr>
          <w:rFonts w:hint="eastAsia"/>
          <w:sz w:val="24"/>
          <w:szCs w:val="24"/>
        </w:rPr>
        <w:t>2. 甲方和代理机构对乙方的技术及商业机密予以保密；</w:t>
      </w:r>
    </w:p>
    <w:p>
      <w:pPr>
        <w:pStyle w:val="15"/>
        <w:spacing w:line="420" w:lineRule="exact"/>
        <w:ind w:firstLine="480" w:firstLineChars="200"/>
        <w:rPr>
          <w:sz w:val="24"/>
          <w:szCs w:val="24"/>
        </w:rPr>
      </w:pPr>
      <w:r>
        <w:rPr>
          <w:rFonts w:hint="eastAsia"/>
          <w:sz w:val="24"/>
          <w:szCs w:val="24"/>
        </w:rPr>
        <w:t>3. 乙方有权按照合同，要求及时支付相应合同款项；</w:t>
      </w:r>
    </w:p>
    <w:p>
      <w:pPr>
        <w:pStyle w:val="15"/>
        <w:spacing w:line="420" w:lineRule="exact"/>
        <w:ind w:firstLine="480" w:firstLineChars="200"/>
        <w:rPr>
          <w:sz w:val="24"/>
          <w:szCs w:val="24"/>
        </w:rPr>
      </w:pPr>
      <w:r>
        <w:rPr>
          <w:rFonts w:hint="eastAsia"/>
          <w:sz w:val="24"/>
          <w:szCs w:val="24"/>
        </w:rPr>
        <w:t>4. 乙方有义务按竞争性</w:t>
      </w:r>
      <w:r>
        <w:rPr>
          <w:rFonts w:hint="eastAsia"/>
          <w:sz w:val="24"/>
          <w:szCs w:val="24"/>
          <w:lang w:eastAsia="zh-CN"/>
        </w:rPr>
        <w:t>竞争性磋商文件</w:t>
      </w:r>
      <w:r>
        <w:rPr>
          <w:rFonts w:hint="eastAsia"/>
          <w:sz w:val="24"/>
          <w:szCs w:val="24"/>
        </w:rPr>
        <w:t xml:space="preserve">中的售后服务承诺提供良好的服务。 </w:t>
      </w:r>
    </w:p>
    <w:p>
      <w:pPr>
        <w:pStyle w:val="15"/>
        <w:spacing w:line="420" w:lineRule="exact"/>
        <w:ind w:firstLine="480" w:firstLineChars="200"/>
        <w:rPr>
          <w:sz w:val="24"/>
          <w:szCs w:val="24"/>
        </w:rPr>
      </w:pPr>
      <w:r>
        <w:rPr>
          <w:rFonts w:hint="eastAsia"/>
          <w:sz w:val="24"/>
          <w:szCs w:val="24"/>
        </w:rPr>
        <w:t>八、违约责任</w:t>
      </w:r>
    </w:p>
    <w:p>
      <w:pPr>
        <w:pStyle w:val="15"/>
        <w:spacing w:line="440" w:lineRule="exact"/>
        <w:ind w:firstLine="480" w:firstLineChars="200"/>
        <w:rPr>
          <w:sz w:val="24"/>
          <w:szCs w:val="24"/>
        </w:rPr>
      </w:pPr>
      <w:r>
        <w:rPr>
          <w:rFonts w:hint="eastAsia"/>
          <w:sz w:val="24"/>
          <w:szCs w:val="24"/>
        </w:rPr>
        <w:t>甲乙双方均应遵守本合同，如有违约，将赔偿因违约给对方造成的经济损失，若因乙方原因在合同规定期限内无法交货，甲方有权终止合同，并提请政府招标监管部门将其列入不良行为记录。因不可抗拒力所导致的交货及付款延迟等按照《中华人民共和国合同法》有关条文及本合同第八条处理。</w:t>
      </w:r>
    </w:p>
    <w:p>
      <w:pPr>
        <w:pStyle w:val="15"/>
        <w:spacing w:line="440" w:lineRule="exact"/>
        <w:ind w:firstLine="480" w:firstLineChars="200"/>
        <w:rPr>
          <w:sz w:val="24"/>
          <w:szCs w:val="24"/>
        </w:rPr>
      </w:pPr>
      <w:r>
        <w:rPr>
          <w:rFonts w:hint="eastAsia"/>
          <w:sz w:val="24"/>
          <w:szCs w:val="24"/>
        </w:rPr>
        <w:t xml:space="preserve">九、不可抗力 </w:t>
      </w:r>
    </w:p>
    <w:p>
      <w:pPr>
        <w:pStyle w:val="15"/>
        <w:spacing w:line="460" w:lineRule="exact"/>
        <w:ind w:firstLine="480" w:firstLineChars="200"/>
        <w:rPr>
          <w:sz w:val="24"/>
          <w:szCs w:val="24"/>
        </w:rPr>
      </w:pPr>
      <w:r>
        <w:rPr>
          <w:rFonts w:hint="eastAsia"/>
          <w:sz w:val="24"/>
          <w:szCs w:val="24"/>
        </w:rPr>
        <w:t>甲方由于不可抗力的原因不能履行合同时，应及时向对方通报不能履行或不能完全履行的理由；乙方由于不可抗力的原因不能履行合同时，应在交货时间到期以前及时向对方通报不能履行或不能完全履行的理由；在取得有关主管机关证明以后，可以签订延期履行、部分履行补充合同或者不履行合同，并根据情况可部分或全部免予承担违约责任。</w:t>
      </w:r>
    </w:p>
    <w:p>
      <w:pPr>
        <w:pStyle w:val="15"/>
        <w:spacing w:line="440" w:lineRule="exact"/>
        <w:ind w:firstLine="480" w:firstLineChars="200"/>
        <w:rPr>
          <w:sz w:val="24"/>
          <w:szCs w:val="24"/>
        </w:rPr>
      </w:pPr>
      <w:r>
        <w:rPr>
          <w:rFonts w:hint="eastAsia"/>
          <w:sz w:val="24"/>
          <w:szCs w:val="24"/>
        </w:rPr>
        <w:t>十、争议</w:t>
      </w:r>
    </w:p>
    <w:p>
      <w:pPr>
        <w:pStyle w:val="15"/>
        <w:spacing w:line="440" w:lineRule="exact"/>
        <w:ind w:firstLine="480" w:firstLineChars="200"/>
        <w:rPr>
          <w:sz w:val="24"/>
          <w:szCs w:val="24"/>
        </w:rPr>
      </w:pPr>
      <w:r>
        <w:rPr>
          <w:rFonts w:hint="eastAsia"/>
          <w:sz w:val="24"/>
          <w:szCs w:val="24"/>
        </w:rPr>
        <w:t>双方本着友好合作的态度，对合同履行过程中发生的违约行为进行及时的协商解决，如不能协商解决可向合同签约地法院通过法律诉讼解决。</w:t>
      </w:r>
    </w:p>
    <w:p>
      <w:pPr>
        <w:pStyle w:val="15"/>
        <w:spacing w:line="440" w:lineRule="exact"/>
        <w:ind w:firstLine="480" w:firstLineChars="200"/>
        <w:rPr>
          <w:sz w:val="24"/>
          <w:szCs w:val="24"/>
        </w:rPr>
      </w:pPr>
      <w:r>
        <w:rPr>
          <w:rFonts w:hint="eastAsia"/>
          <w:sz w:val="24"/>
          <w:szCs w:val="24"/>
        </w:rPr>
        <w:t>十一、其它</w:t>
      </w:r>
    </w:p>
    <w:p>
      <w:pPr>
        <w:spacing w:line="440" w:lineRule="exact"/>
        <w:ind w:firstLine="480" w:firstLineChars="200"/>
        <w:rPr>
          <w:sz w:val="24"/>
        </w:rPr>
      </w:pPr>
      <w:r>
        <w:rPr>
          <w:rFonts w:hint="eastAsia"/>
          <w:sz w:val="24"/>
        </w:rPr>
        <w:t>1. 本合同共</w:t>
      </w:r>
      <w:r>
        <w:rPr>
          <w:rFonts w:hint="eastAsia"/>
          <w:sz w:val="24"/>
          <w:u w:val="single"/>
        </w:rPr>
        <w:t xml:space="preserve">    </w:t>
      </w:r>
      <w:r>
        <w:rPr>
          <w:rFonts w:hint="eastAsia"/>
          <w:sz w:val="24"/>
        </w:rPr>
        <w:t>页，一式四份，甲乙双方、代理机构及政府招标监督管理部门各执一份，具有同等法律效力；</w:t>
      </w:r>
    </w:p>
    <w:p>
      <w:pPr>
        <w:spacing w:line="440" w:lineRule="exact"/>
        <w:ind w:firstLine="480" w:firstLineChars="200"/>
        <w:rPr>
          <w:sz w:val="24"/>
        </w:rPr>
      </w:pPr>
      <w:r>
        <w:rPr>
          <w:rFonts w:hint="eastAsia"/>
          <w:sz w:val="24"/>
        </w:rPr>
        <w:t>2.本合同自签订之日起生效；</w:t>
      </w:r>
    </w:p>
    <w:p>
      <w:pPr>
        <w:pStyle w:val="15"/>
        <w:spacing w:line="440" w:lineRule="exact"/>
        <w:ind w:firstLine="480" w:firstLineChars="200"/>
        <w:rPr>
          <w:sz w:val="24"/>
          <w:szCs w:val="24"/>
        </w:rPr>
      </w:pPr>
      <w:r>
        <w:rPr>
          <w:rFonts w:hint="eastAsia"/>
          <w:sz w:val="24"/>
          <w:szCs w:val="24"/>
        </w:rPr>
        <w:t>3.本项目的招标文件、</w:t>
      </w:r>
      <w:r>
        <w:rPr>
          <w:rFonts w:hint="eastAsia"/>
          <w:sz w:val="24"/>
          <w:szCs w:val="24"/>
          <w:lang w:eastAsia="zh-CN"/>
        </w:rPr>
        <w:t>竞争性磋商文件</w:t>
      </w:r>
      <w:r>
        <w:rPr>
          <w:rFonts w:hint="eastAsia"/>
          <w:sz w:val="24"/>
          <w:szCs w:val="24"/>
        </w:rPr>
        <w:t>等是本合同的附件，与合同具有同等的法律效力；</w:t>
      </w:r>
    </w:p>
    <w:p>
      <w:pPr>
        <w:pStyle w:val="15"/>
        <w:spacing w:line="440" w:lineRule="exact"/>
        <w:ind w:firstLine="480" w:firstLineChars="200"/>
        <w:rPr>
          <w:sz w:val="24"/>
          <w:szCs w:val="24"/>
        </w:rPr>
      </w:pPr>
      <w:r>
        <w:rPr>
          <w:rFonts w:hint="eastAsia"/>
          <w:sz w:val="24"/>
          <w:szCs w:val="24"/>
        </w:rPr>
        <w:t>4.其它未尽事宜，由双方友好协商解决，并参照《中华人民共和国合同法》有关条款执行。</w:t>
      </w:r>
    </w:p>
    <w:p>
      <w:pPr>
        <w:pStyle w:val="15"/>
        <w:spacing w:line="440" w:lineRule="exact"/>
        <w:ind w:firstLine="480" w:firstLineChars="200"/>
        <w:rPr>
          <w:sz w:val="24"/>
          <w:szCs w:val="24"/>
        </w:rPr>
      </w:pPr>
    </w:p>
    <w:p>
      <w:pPr>
        <w:spacing w:line="440" w:lineRule="exact"/>
        <w:ind w:firstLine="480" w:firstLineChars="200"/>
        <w:rPr>
          <w:sz w:val="24"/>
        </w:rPr>
      </w:pPr>
      <w:r>
        <w:rPr>
          <w:rFonts w:hint="eastAsia"/>
          <w:sz w:val="24"/>
        </w:rPr>
        <w:t>附：乙方报价表。</w:t>
      </w:r>
    </w:p>
    <w:p>
      <w:pPr>
        <w:spacing w:line="440" w:lineRule="exact"/>
        <w:ind w:firstLine="480" w:firstLineChars="200"/>
        <w:rPr>
          <w:sz w:val="24"/>
        </w:rPr>
      </w:pPr>
    </w:p>
    <w:p>
      <w:pPr>
        <w:spacing w:line="440" w:lineRule="exact"/>
        <w:ind w:firstLine="435"/>
        <w:rPr>
          <w:sz w:val="24"/>
          <w:u w:val="single"/>
        </w:rPr>
      </w:pPr>
      <w:r>
        <w:rPr>
          <w:rFonts w:hint="eastAsia"/>
          <w:sz w:val="24"/>
        </w:rPr>
        <w:t>甲方：（单位盖章）</w:t>
      </w:r>
      <w:r>
        <w:rPr>
          <w:rFonts w:hint="eastAsia"/>
          <w:sz w:val="24"/>
          <w:u w:val="single"/>
        </w:rPr>
        <w:t xml:space="preserve">             </w:t>
      </w:r>
      <w:r>
        <w:rPr>
          <w:rFonts w:hint="eastAsia"/>
          <w:sz w:val="24"/>
        </w:rPr>
        <w:t xml:space="preserve">    乙  方：（单位盖章）</w:t>
      </w:r>
      <w:r>
        <w:rPr>
          <w:rFonts w:hint="eastAsia"/>
          <w:sz w:val="24"/>
          <w:u w:val="single"/>
        </w:rPr>
        <w:t xml:space="preserve">          </w:t>
      </w:r>
    </w:p>
    <w:p>
      <w:pPr>
        <w:spacing w:line="440" w:lineRule="exact"/>
        <w:ind w:firstLine="435"/>
        <w:rPr>
          <w:sz w:val="24"/>
          <w:u w:val="single"/>
        </w:rPr>
      </w:pPr>
      <w:r>
        <w:rPr>
          <w:rFonts w:hint="eastAsia"/>
          <w:sz w:val="24"/>
        </w:rPr>
        <w:t>法定代表人（签字）：</w:t>
      </w:r>
      <w:r>
        <w:rPr>
          <w:rFonts w:hint="eastAsia"/>
          <w:sz w:val="24"/>
          <w:u w:val="single"/>
        </w:rPr>
        <w:t xml:space="preserve">           </w:t>
      </w:r>
      <w:r>
        <w:rPr>
          <w:rFonts w:hint="eastAsia"/>
          <w:sz w:val="24"/>
        </w:rPr>
        <w:t xml:space="preserve">    法定代表人（签字）：</w:t>
      </w:r>
      <w:r>
        <w:rPr>
          <w:rFonts w:hint="eastAsia"/>
          <w:sz w:val="24"/>
          <w:u w:val="single"/>
        </w:rPr>
        <w:t xml:space="preserve">          </w:t>
      </w:r>
    </w:p>
    <w:p>
      <w:pPr>
        <w:spacing w:line="440" w:lineRule="exact"/>
        <w:ind w:firstLine="435"/>
        <w:rPr>
          <w:sz w:val="24"/>
          <w:u w:val="single"/>
        </w:rPr>
      </w:pPr>
      <w:r>
        <w:rPr>
          <w:rFonts w:hint="eastAsia"/>
          <w:sz w:val="24"/>
        </w:rPr>
        <w:t>地  址：</w:t>
      </w:r>
      <w:r>
        <w:rPr>
          <w:rFonts w:hint="eastAsia"/>
          <w:sz w:val="24"/>
          <w:u w:val="single"/>
        </w:rPr>
        <w:t xml:space="preserve">                       </w:t>
      </w:r>
      <w:r>
        <w:rPr>
          <w:rFonts w:hint="eastAsia"/>
          <w:sz w:val="24"/>
        </w:rPr>
        <w:t xml:space="preserve">    地  址：</w:t>
      </w:r>
      <w:r>
        <w:rPr>
          <w:rFonts w:hint="eastAsia"/>
          <w:sz w:val="24"/>
          <w:u w:val="single"/>
        </w:rPr>
        <w:t xml:space="preserve">                      </w:t>
      </w:r>
    </w:p>
    <w:p>
      <w:pPr>
        <w:spacing w:line="440" w:lineRule="exact"/>
        <w:ind w:firstLine="435"/>
        <w:rPr>
          <w:sz w:val="24"/>
          <w:u w:val="single"/>
        </w:rPr>
      </w:pPr>
      <w:r>
        <w:rPr>
          <w:rFonts w:hint="eastAsia"/>
          <w:sz w:val="24"/>
        </w:rPr>
        <w:t>开户银行：</w:t>
      </w:r>
      <w:r>
        <w:rPr>
          <w:rFonts w:hint="eastAsia"/>
          <w:sz w:val="24"/>
          <w:u w:val="single"/>
        </w:rPr>
        <w:t xml:space="preserve">                     </w:t>
      </w:r>
      <w:r>
        <w:rPr>
          <w:rFonts w:hint="eastAsia"/>
          <w:sz w:val="24"/>
        </w:rPr>
        <w:t xml:space="preserve">    开户银行：</w:t>
      </w:r>
      <w:r>
        <w:rPr>
          <w:rFonts w:hint="eastAsia"/>
          <w:sz w:val="24"/>
          <w:u w:val="single"/>
        </w:rPr>
        <w:t xml:space="preserve">                    </w:t>
      </w:r>
    </w:p>
    <w:p>
      <w:pPr>
        <w:spacing w:line="440" w:lineRule="exact"/>
        <w:ind w:firstLine="435"/>
        <w:rPr>
          <w:sz w:val="24"/>
          <w:u w:val="single"/>
        </w:rPr>
      </w:pPr>
      <w:r>
        <w:rPr>
          <w:rFonts w:hint="eastAsia"/>
          <w:sz w:val="24"/>
        </w:rPr>
        <w:t>账  号：</w:t>
      </w:r>
      <w:r>
        <w:rPr>
          <w:rFonts w:hint="eastAsia"/>
          <w:sz w:val="24"/>
          <w:u w:val="single"/>
        </w:rPr>
        <w:t xml:space="preserve">                       </w:t>
      </w:r>
      <w:r>
        <w:rPr>
          <w:rFonts w:hint="eastAsia"/>
          <w:sz w:val="24"/>
        </w:rPr>
        <w:t xml:space="preserve">    账  号：</w:t>
      </w:r>
      <w:r>
        <w:rPr>
          <w:rFonts w:hint="eastAsia"/>
          <w:sz w:val="24"/>
          <w:u w:val="single"/>
        </w:rPr>
        <w:t xml:space="preserve">                      </w:t>
      </w:r>
    </w:p>
    <w:p>
      <w:pPr>
        <w:spacing w:line="440" w:lineRule="exact"/>
        <w:ind w:firstLine="435"/>
        <w:rPr>
          <w:sz w:val="24"/>
          <w:u w:val="single"/>
        </w:rPr>
      </w:pPr>
      <w:r>
        <w:rPr>
          <w:rFonts w:hint="eastAsia"/>
          <w:sz w:val="24"/>
        </w:rPr>
        <w:t>电  话：</w:t>
      </w:r>
      <w:r>
        <w:rPr>
          <w:rFonts w:hint="eastAsia"/>
          <w:sz w:val="24"/>
          <w:u w:val="single"/>
        </w:rPr>
        <w:t xml:space="preserve">                       </w:t>
      </w:r>
      <w:r>
        <w:rPr>
          <w:rFonts w:hint="eastAsia"/>
          <w:sz w:val="24"/>
        </w:rPr>
        <w:t xml:space="preserve">    电  话：</w:t>
      </w:r>
      <w:r>
        <w:rPr>
          <w:rFonts w:hint="eastAsia"/>
          <w:sz w:val="24"/>
          <w:u w:val="single"/>
        </w:rPr>
        <w:t xml:space="preserve">                      </w:t>
      </w:r>
    </w:p>
    <w:p>
      <w:pPr>
        <w:spacing w:line="440" w:lineRule="exact"/>
        <w:rPr>
          <w:sz w:val="24"/>
        </w:rPr>
      </w:pPr>
    </w:p>
    <w:p>
      <w:pPr>
        <w:spacing w:line="440" w:lineRule="exact"/>
        <w:ind w:firstLine="5232" w:firstLineChars="2180"/>
        <w:rPr>
          <w:sz w:val="24"/>
        </w:rPr>
      </w:pPr>
      <w:r>
        <w:rPr>
          <w:rFonts w:hint="eastAsia"/>
          <w:sz w:val="24"/>
        </w:rPr>
        <w:t xml:space="preserve">签订地点：                       </w:t>
      </w:r>
    </w:p>
    <w:p>
      <w:pPr>
        <w:spacing w:line="440" w:lineRule="exact"/>
        <w:ind w:firstLine="435"/>
      </w:pPr>
      <w:r>
        <w:rPr>
          <w:rFonts w:hint="eastAsia"/>
          <w:sz w:val="24"/>
        </w:rPr>
        <w:t xml:space="preserve">                                        年    月    日 </w:t>
      </w:r>
    </w:p>
    <w:p>
      <w:pPr>
        <w:widowControl/>
        <w:spacing w:line="560" w:lineRule="exact"/>
        <w:ind w:firstLine="640" w:firstLineChars="200"/>
        <w:rPr>
          <w:rFonts w:ascii="仿宋_GB2312" w:hAnsi="仿宋_GB2312" w:eastAsia="仿宋_GB2312" w:cs="仿宋_GB2312"/>
          <w:color w:val="FF0000"/>
          <w:sz w:val="32"/>
          <w:szCs w:val="32"/>
          <w:lang w:val="en-US"/>
        </w:rPr>
      </w:pPr>
    </w:p>
    <w:p>
      <w:pPr>
        <w:pStyle w:val="29"/>
        <w:tabs>
          <w:tab w:val="left" w:pos="1499"/>
        </w:tabs>
        <w:spacing w:line="364" w:lineRule="auto"/>
        <w:ind w:left="0" w:right="525" w:firstLine="0"/>
        <w:jc w:val="both"/>
        <w:rPr>
          <w:sz w:val="24"/>
          <w:lang w:val="en-US"/>
        </w:rPr>
      </w:pPr>
    </w:p>
    <w:p>
      <w:pPr>
        <w:pStyle w:val="5"/>
        <w:tabs>
          <w:tab w:val="left" w:pos="2515"/>
        </w:tabs>
        <w:spacing w:before="78" w:line="292" w:lineRule="auto"/>
        <w:ind w:right="3698"/>
        <w:rPr>
          <w:spacing w:val="19"/>
          <w:lang w:val="en-US"/>
        </w:rPr>
      </w:pPr>
      <w:r>
        <w:rPr>
          <w:rFonts w:hint="eastAsia"/>
          <w:spacing w:val="19"/>
          <w:lang w:val="en-US"/>
        </w:rPr>
        <w:t xml:space="preserve">      </w:t>
      </w:r>
      <w:r>
        <w:rPr>
          <w:rFonts w:hint="eastAsia"/>
          <w:spacing w:val="19"/>
        </w:rPr>
        <w:t>第四章</w:t>
      </w:r>
      <w:r>
        <w:rPr>
          <w:spacing w:val="19"/>
          <w:lang w:val="en-US"/>
        </w:rPr>
        <w:t>评标办法和标准</w:t>
      </w:r>
    </w:p>
    <w:p>
      <w:pPr>
        <w:widowControl/>
      </w:pPr>
      <w:r>
        <w:rPr>
          <w:rFonts w:hint="eastAsia"/>
          <w:b/>
          <w:color w:val="000000"/>
          <w:sz w:val="24"/>
          <w:szCs w:val="24"/>
          <w:lang w:val="en-US"/>
        </w:rPr>
        <w:t xml:space="preserve">一、总则 </w:t>
      </w:r>
    </w:p>
    <w:p>
      <w:pPr>
        <w:widowControl/>
      </w:pPr>
      <w:r>
        <w:rPr>
          <w:rFonts w:hint="eastAsia"/>
          <w:b/>
          <w:color w:val="000000"/>
          <w:sz w:val="24"/>
          <w:szCs w:val="24"/>
          <w:lang w:val="en-US"/>
        </w:rPr>
        <w:t xml:space="preserve">（一）评审原则 </w:t>
      </w:r>
    </w:p>
    <w:p>
      <w:pPr>
        <w:widowControl/>
      </w:pPr>
      <w:r>
        <w:rPr>
          <w:rFonts w:hint="eastAsia"/>
          <w:color w:val="000000"/>
          <w:sz w:val="24"/>
          <w:szCs w:val="24"/>
          <w:lang w:val="en-US"/>
        </w:rPr>
        <w:t xml:space="preserve">1、坚持公平、公正、科学、择优的原则，反对不正当竞争； </w:t>
      </w:r>
    </w:p>
    <w:p>
      <w:pPr>
        <w:widowControl/>
      </w:pPr>
      <w:r>
        <w:rPr>
          <w:rFonts w:hint="eastAsia"/>
          <w:color w:val="000000"/>
          <w:sz w:val="24"/>
          <w:szCs w:val="24"/>
          <w:lang w:val="en-US"/>
        </w:rPr>
        <w:t xml:space="preserve">2、评审活动严格保密； </w:t>
      </w:r>
    </w:p>
    <w:p>
      <w:pPr>
        <w:widowControl/>
      </w:pPr>
      <w:r>
        <w:rPr>
          <w:rFonts w:hint="eastAsia"/>
          <w:color w:val="000000"/>
          <w:sz w:val="24"/>
          <w:szCs w:val="24"/>
          <w:lang w:val="en-US"/>
        </w:rPr>
        <w:t xml:space="preserve">3、定性的结论由评审委员会按少数服从多数的原则，以记名投票的方式决定； </w:t>
      </w:r>
    </w:p>
    <w:p>
      <w:pPr>
        <w:widowControl/>
      </w:pPr>
      <w:r>
        <w:rPr>
          <w:rFonts w:hint="eastAsia"/>
          <w:color w:val="000000"/>
          <w:sz w:val="24"/>
          <w:szCs w:val="24"/>
          <w:lang w:val="en-US"/>
        </w:rPr>
        <w:t xml:space="preserve">4、采购人根据《中华人民共和国政府采购法》、《中华人民共和国政府采购法实 </w:t>
      </w:r>
    </w:p>
    <w:p>
      <w:pPr>
        <w:widowControl/>
      </w:pPr>
      <w:r>
        <w:rPr>
          <w:rFonts w:hint="eastAsia"/>
          <w:color w:val="000000"/>
          <w:sz w:val="24"/>
          <w:szCs w:val="24"/>
          <w:lang w:val="en-US"/>
        </w:rPr>
        <w:t xml:space="preserve">施条例》、《评审委员会和评审方法暂行规定》（七部委令第 12 号），结合本项目实 </w:t>
      </w:r>
    </w:p>
    <w:p>
      <w:pPr>
        <w:widowControl/>
      </w:pPr>
      <w:r>
        <w:rPr>
          <w:rFonts w:hint="eastAsia"/>
          <w:color w:val="000000"/>
          <w:sz w:val="24"/>
          <w:szCs w:val="24"/>
          <w:lang w:val="en-US"/>
        </w:rPr>
        <w:t xml:space="preserve">际制定本评审办法，无论本办法中是否引用或涉及上述文件中的强制性条款均适用于本 </w:t>
      </w:r>
    </w:p>
    <w:p>
      <w:pPr>
        <w:widowControl/>
      </w:pPr>
      <w:r>
        <w:rPr>
          <w:rFonts w:hint="eastAsia"/>
          <w:color w:val="000000"/>
          <w:sz w:val="24"/>
          <w:szCs w:val="24"/>
          <w:lang w:val="en-US"/>
        </w:rPr>
        <w:t>项目。</w:t>
      </w:r>
    </w:p>
    <w:p>
      <w:pPr>
        <w:widowControl/>
      </w:pPr>
      <w:r>
        <w:rPr>
          <w:rFonts w:hint="eastAsia"/>
          <w:b/>
          <w:color w:val="000000"/>
          <w:sz w:val="24"/>
          <w:szCs w:val="24"/>
          <w:lang w:val="en-US"/>
        </w:rPr>
        <w:t xml:space="preserve">（二）评审监督 </w:t>
      </w:r>
    </w:p>
    <w:p>
      <w:pPr>
        <w:widowControl/>
      </w:pPr>
      <w:r>
        <w:rPr>
          <w:rFonts w:hint="eastAsia"/>
          <w:color w:val="000000"/>
          <w:sz w:val="24"/>
          <w:szCs w:val="24"/>
          <w:lang w:val="en-US"/>
        </w:rPr>
        <w:t>采购人接受项目所在地有关行政监督部门对本项目评审活动及当事人依法实施的监督。</w:t>
      </w:r>
    </w:p>
    <w:p>
      <w:pPr>
        <w:widowControl/>
      </w:pPr>
      <w:r>
        <w:rPr>
          <w:rFonts w:hint="eastAsia"/>
          <w:b/>
          <w:color w:val="000000"/>
          <w:sz w:val="24"/>
          <w:szCs w:val="24"/>
          <w:lang w:val="en-US"/>
        </w:rPr>
        <w:t xml:space="preserve">（三）本项目评审方式采用综合评分法。 </w:t>
      </w:r>
    </w:p>
    <w:p>
      <w:pPr>
        <w:widowControl/>
      </w:pPr>
      <w:r>
        <w:rPr>
          <w:rFonts w:hint="eastAsia"/>
          <w:b/>
          <w:color w:val="000000"/>
          <w:sz w:val="24"/>
          <w:szCs w:val="24"/>
          <w:lang w:val="en-US"/>
        </w:rPr>
        <w:t xml:space="preserve">二、评审组织 </w:t>
      </w:r>
    </w:p>
    <w:p>
      <w:pPr>
        <w:widowControl/>
        <w:rPr>
          <w:color w:val="000000"/>
          <w:sz w:val="24"/>
          <w:szCs w:val="24"/>
          <w:lang w:val="en-US"/>
        </w:rPr>
      </w:pPr>
      <w:r>
        <w:rPr>
          <w:rFonts w:hint="eastAsia"/>
          <w:color w:val="000000"/>
          <w:sz w:val="24"/>
          <w:szCs w:val="24"/>
          <w:lang w:val="en-US"/>
        </w:rPr>
        <w:t xml:space="preserve">（一）评审由采购人依法组建的评审委员会负责。评审委员会从河北省政府采购评审专家库中随机抽取的有关技术、经济等方面的专家共3人组成，其中有关技术、经济等方面的专家不少于总人数的 2/3。评审委员会主任由评审委员会 推举产生。 </w:t>
      </w:r>
    </w:p>
    <w:p>
      <w:pPr>
        <w:widowControl/>
      </w:pPr>
      <w:r>
        <w:rPr>
          <w:rFonts w:hint="eastAsia"/>
          <w:color w:val="000000"/>
          <w:sz w:val="24"/>
          <w:szCs w:val="24"/>
          <w:lang w:val="en-US"/>
        </w:rPr>
        <w:t xml:space="preserve">（二）评委会应当客观、公正地履行职责，遵守职业道德，对所提出的评审意见承 </w:t>
      </w:r>
    </w:p>
    <w:p>
      <w:pPr>
        <w:widowControl/>
      </w:pPr>
      <w:r>
        <w:rPr>
          <w:rFonts w:hint="eastAsia"/>
          <w:color w:val="000000"/>
          <w:sz w:val="24"/>
          <w:szCs w:val="24"/>
          <w:lang w:val="en-US"/>
        </w:rPr>
        <w:t xml:space="preserve">担个人责任。 </w:t>
      </w:r>
    </w:p>
    <w:p>
      <w:pPr>
        <w:widowControl/>
      </w:pPr>
      <w:r>
        <w:rPr>
          <w:rFonts w:hint="eastAsia"/>
          <w:color w:val="000000"/>
          <w:sz w:val="24"/>
          <w:szCs w:val="24"/>
          <w:lang w:val="en-US"/>
        </w:rPr>
        <w:t xml:space="preserve">1、评审委员会成员不得与任何投标人或者与投标结果有利害关系的人进行私下接 </w:t>
      </w:r>
    </w:p>
    <w:p>
      <w:pPr>
        <w:widowControl/>
      </w:pPr>
      <w:r>
        <w:rPr>
          <w:rFonts w:hint="eastAsia"/>
          <w:color w:val="000000"/>
          <w:sz w:val="24"/>
          <w:szCs w:val="24"/>
          <w:lang w:val="en-US"/>
        </w:rPr>
        <w:t xml:space="preserve">触，不得收受投标人、中介人、其他利害关系人的财物或者其他好处。 </w:t>
      </w:r>
    </w:p>
    <w:p>
      <w:pPr>
        <w:widowControl/>
      </w:pPr>
      <w:r>
        <w:rPr>
          <w:rFonts w:hint="eastAsia"/>
          <w:color w:val="000000"/>
          <w:sz w:val="24"/>
          <w:szCs w:val="24"/>
          <w:lang w:val="en-US"/>
        </w:rPr>
        <w:t>2、评审委员会应当根据招标文件规定的评审标准和方法，对</w:t>
      </w:r>
      <w:r>
        <w:rPr>
          <w:rFonts w:hint="eastAsia"/>
          <w:color w:val="000000"/>
          <w:sz w:val="24"/>
          <w:szCs w:val="24"/>
          <w:lang w:val="en-US" w:eastAsia="zh-CN"/>
        </w:rPr>
        <w:t>竞争性磋商文件</w:t>
      </w:r>
      <w:r>
        <w:rPr>
          <w:rFonts w:hint="eastAsia"/>
          <w:color w:val="000000"/>
          <w:sz w:val="24"/>
          <w:szCs w:val="24"/>
          <w:lang w:val="en-US"/>
        </w:rPr>
        <w:t xml:space="preserve">进行系统地 </w:t>
      </w:r>
    </w:p>
    <w:p>
      <w:pPr>
        <w:widowControl/>
      </w:pPr>
      <w:r>
        <w:rPr>
          <w:rFonts w:hint="eastAsia"/>
          <w:color w:val="000000"/>
          <w:sz w:val="24"/>
          <w:szCs w:val="24"/>
          <w:lang w:val="en-US"/>
        </w:rPr>
        <w:t xml:space="preserve">评审和比较。招标文件中没有规定的标准和方法不得作为评审的依据。 </w:t>
      </w:r>
    </w:p>
    <w:p>
      <w:pPr>
        <w:widowControl/>
      </w:pPr>
      <w:r>
        <w:rPr>
          <w:rFonts w:hint="eastAsia"/>
          <w:color w:val="000000"/>
          <w:sz w:val="24"/>
          <w:szCs w:val="24"/>
          <w:lang w:val="en-US"/>
        </w:rPr>
        <w:t xml:space="preserve">3、在评审过程中，评审委员会发现投标人以他人的名义投标、串通投标、以行贿 </w:t>
      </w:r>
    </w:p>
    <w:p>
      <w:pPr>
        <w:widowControl/>
      </w:pPr>
      <w:r>
        <w:rPr>
          <w:rFonts w:hint="eastAsia"/>
          <w:color w:val="000000"/>
          <w:sz w:val="24"/>
          <w:szCs w:val="24"/>
          <w:lang w:val="en-US"/>
        </w:rPr>
        <w:t xml:space="preserve">手段谋取中标或者以其他弄虚作假方式投标的，该投标人的投标应作废标处理。 </w:t>
      </w:r>
    </w:p>
    <w:p>
      <w:pPr>
        <w:widowControl/>
      </w:pPr>
      <w:r>
        <w:rPr>
          <w:rFonts w:hint="eastAsia"/>
          <w:color w:val="000000"/>
          <w:sz w:val="24"/>
          <w:szCs w:val="24"/>
          <w:lang w:val="en-US"/>
        </w:rPr>
        <w:t xml:space="preserve">4、评审委员会成员应认真分析、论证各投标人的书面澄清、说明或者提供的证明 </w:t>
      </w:r>
    </w:p>
    <w:p>
      <w:pPr>
        <w:widowControl/>
      </w:pPr>
      <w:r>
        <w:rPr>
          <w:rFonts w:hint="eastAsia"/>
          <w:color w:val="000000"/>
          <w:sz w:val="24"/>
          <w:szCs w:val="24"/>
          <w:lang w:val="en-US"/>
        </w:rPr>
        <w:t xml:space="preserve">材料，不能凭主观臆断判定投标报价是否可行。 </w:t>
      </w:r>
    </w:p>
    <w:p>
      <w:pPr>
        <w:widowControl/>
      </w:pPr>
      <w:r>
        <w:rPr>
          <w:rFonts w:ascii="Times New Roman" w:hAnsi="Times New Roman" w:cs="Times New Roman"/>
          <w:color w:val="000000"/>
          <w:sz w:val="18"/>
          <w:szCs w:val="18"/>
          <w:lang w:val="en-US"/>
        </w:rPr>
        <w:t>- 22 -</w:t>
      </w:r>
      <w:r>
        <w:rPr>
          <w:rFonts w:hint="eastAsia"/>
          <w:color w:val="000000"/>
          <w:sz w:val="24"/>
          <w:szCs w:val="24"/>
          <w:lang w:val="en-US"/>
        </w:rPr>
        <w:t>5、评审委员会成员和与评审活动有关的工作人员不得透露对</w:t>
      </w:r>
      <w:r>
        <w:rPr>
          <w:rFonts w:hint="eastAsia"/>
          <w:color w:val="000000"/>
          <w:sz w:val="24"/>
          <w:szCs w:val="24"/>
          <w:lang w:val="en-US" w:eastAsia="zh-CN"/>
        </w:rPr>
        <w:t>竞争性磋商文件</w:t>
      </w:r>
      <w:r>
        <w:rPr>
          <w:rFonts w:hint="eastAsia"/>
          <w:color w:val="000000"/>
          <w:sz w:val="24"/>
          <w:szCs w:val="24"/>
          <w:lang w:val="en-US"/>
        </w:rPr>
        <w:t xml:space="preserve">的评审和比 </w:t>
      </w:r>
    </w:p>
    <w:p>
      <w:pPr>
        <w:widowControl/>
      </w:pPr>
      <w:r>
        <w:rPr>
          <w:rFonts w:hint="eastAsia"/>
          <w:color w:val="000000"/>
          <w:sz w:val="24"/>
          <w:szCs w:val="24"/>
          <w:lang w:val="en-US"/>
        </w:rPr>
        <w:t xml:space="preserve">较、中标候选人的推荐情况以及与评审有关的其他情况。 </w:t>
      </w:r>
    </w:p>
    <w:p>
      <w:pPr>
        <w:widowControl/>
      </w:pPr>
      <w:r>
        <w:rPr>
          <w:rFonts w:hint="eastAsia"/>
          <w:color w:val="000000"/>
          <w:sz w:val="24"/>
          <w:szCs w:val="24"/>
          <w:lang w:val="en-US"/>
        </w:rPr>
        <w:t xml:space="preserve">6、有下列情形之一的，不得担任评审委员会成员： </w:t>
      </w:r>
    </w:p>
    <w:p>
      <w:pPr>
        <w:widowControl/>
      </w:pPr>
      <w:r>
        <w:rPr>
          <w:rFonts w:hint="eastAsia"/>
          <w:color w:val="000000"/>
          <w:sz w:val="24"/>
          <w:szCs w:val="24"/>
          <w:lang w:val="en-US"/>
        </w:rPr>
        <w:t xml:space="preserve">（1）投标人或者投标人主要负责人的近亲属； </w:t>
      </w:r>
    </w:p>
    <w:p>
      <w:pPr>
        <w:widowControl/>
      </w:pPr>
      <w:r>
        <w:rPr>
          <w:rFonts w:hint="eastAsia"/>
          <w:color w:val="000000"/>
          <w:sz w:val="24"/>
          <w:szCs w:val="24"/>
          <w:lang w:val="en-US"/>
        </w:rPr>
        <w:t xml:space="preserve">（2）项目主管部门或者行政监督部门的人员； </w:t>
      </w:r>
    </w:p>
    <w:p>
      <w:pPr>
        <w:widowControl/>
      </w:pPr>
      <w:r>
        <w:rPr>
          <w:rFonts w:hint="eastAsia"/>
          <w:color w:val="000000"/>
          <w:sz w:val="24"/>
          <w:szCs w:val="24"/>
          <w:lang w:val="en-US"/>
        </w:rPr>
        <w:t xml:space="preserve">（3）与投标有经济利益关系，可能影响对投标公正评审的； </w:t>
      </w:r>
    </w:p>
    <w:p>
      <w:pPr>
        <w:widowControl/>
      </w:pPr>
      <w:r>
        <w:rPr>
          <w:rFonts w:hint="eastAsia"/>
          <w:color w:val="000000"/>
          <w:sz w:val="24"/>
          <w:szCs w:val="24"/>
          <w:lang w:val="en-US"/>
        </w:rPr>
        <w:t xml:space="preserve">评审委员会成员由前款规定情形之一的，应当主动提出回避。 </w:t>
      </w:r>
    </w:p>
    <w:p>
      <w:pPr>
        <w:widowControl/>
      </w:pPr>
      <w:r>
        <w:rPr>
          <w:rFonts w:hint="eastAsia"/>
          <w:b/>
          <w:color w:val="000000"/>
          <w:sz w:val="24"/>
          <w:szCs w:val="24"/>
          <w:lang w:val="en-US"/>
        </w:rPr>
        <w:t xml:space="preserve">三、评审程序 </w:t>
      </w:r>
    </w:p>
    <w:p>
      <w:pPr>
        <w:widowControl/>
      </w:pPr>
      <w:r>
        <w:rPr>
          <w:rFonts w:hint="eastAsia"/>
          <w:b/>
          <w:color w:val="000000"/>
          <w:sz w:val="24"/>
          <w:szCs w:val="24"/>
          <w:lang w:val="en-US"/>
        </w:rPr>
        <w:t xml:space="preserve">（一）评审委员会按照下面的步骤进行评审： </w:t>
      </w:r>
    </w:p>
    <w:p>
      <w:pPr>
        <w:widowControl/>
      </w:pPr>
      <w:r>
        <w:rPr>
          <w:rFonts w:hint="eastAsia"/>
          <w:color w:val="000000"/>
          <w:sz w:val="24"/>
          <w:szCs w:val="24"/>
          <w:lang w:val="en-US"/>
        </w:rPr>
        <w:t xml:space="preserve">1、选举评审委员会主任； </w:t>
      </w:r>
    </w:p>
    <w:p>
      <w:pPr>
        <w:widowControl/>
      </w:pPr>
      <w:r>
        <w:rPr>
          <w:rFonts w:hint="eastAsia"/>
          <w:color w:val="000000"/>
          <w:sz w:val="24"/>
          <w:szCs w:val="24"/>
          <w:lang w:val="en-US"/>
        </w:rPr>
        <w:t xml:space="preserve">2、评审准备工作(研究招标文件，熟悉或补充修改评审表格等)； </w:t>
      </w:r>
    </w:p>
    <w:p>
      <w:pPr>
        <w:widowControl/>
      </w:pPr>
      <w:r>
        <w:rPr>
          <w:rFonts w:hint="eastAsia"/>
          <w:color w:val="000000"/>
          <w:sz w:val="24"/>
          <w:szCs w:val="24"/>
          <w:lang w:val="en-US"/>
        </w:rPr>
        <w:t xml:space="preserve">3、资格审查及初步评审； </w:t>
      </w:r>
    </w:p>
    <w:p>
      <w:pPr>
        <w:widowControl/>
      </w:pPr>
      <w:r>
        <w:rPr>
          <w:rFonts w:hint="eastAsia"/>
          <w:color w:val="000000"/>
          <w:sz w:val="24"/>
          <w:szCs w:val="24"/>
          <w:lang w:val="en-US"/>
        </w:rPr>
        <w:t xml:space="preserve">4、详细评审； </w:t>
      </w:r>
    </w:p>
    <w:p>
      <w:pPr>
        <w:widowControl/>
      </w:pPr>
      <w:r>
        <w:rPr>
          <w:rFonts w:hint="eastAsia"/>
          <w:color w:val="000000"/>
          <w:sz w:val="24"/>
          <w:szCs w:val="24"/>
          <w:lang w:val="en-US"/>
        </w:rPr>
        <w:t>5、推荐中标候选人。汇总评分结果，按总得分由高至低排出名次，推荐前三名作为中标候选人，并将第一中标</w:t>
      </w:r>
      <w:r>
        <w:rPr>
          <w:rFonts w:hint="eastAsia"/>
          <w:color w:val="000000"/>
          <w:sz w:val="24"/>
          <w:szCs w:val="24"/>
          <w:lang w:val="en-US" w:eastAsia="zh-CN"/>
        </w:rPr>
        <w:t>候</w:t>
      </w:r>
      <w:r>
        <w:rPr>
          <w:rFonts w:hint="eastAsia"/>
          <w:color w:val="000000"/>
          <w:sz w:val="24"/>
          <w:szCs w:val="24"/>
          <w:lang w:val="en-US"/>
        </w:rPr>
        <w:t xml:space="preserve">选人确定为中标人； </w:t>
      </w:r>
    </w:p>
    <w:p>
      <w:pPr>
        <w:widowControl/>
      </w:pPr>
      <w:r>
        <w:rPr>
          <w:rFonts w:hint="eastAsia"/>
          <w:color w:val="000000"/>
          <w:sz w:val="24"/>
          <w:szCs w:val="24"/>
          <w:lang w:val="en-US"/>
        </w:rPr>
        <w:t xml:space="preserve">6、整理评审成果，编制评审报告，并由评审委员会全体成员签字确认后向采购人 </w:t>
      </w:r>
    </w:p>
    <w:p>
      <w:pPr>
        <w:widowControl/>
      </w:pPr>
      <w:r>
        <w:rPr>
          <w:rFonts w:hint="eastAsia"/>
          <w:color w:val="000000"/>
          <w:sz w:val="24"/>
          <w:szCs w:val="24"/>
          <w:lang w:val="en-US"/>
        </w:rPr>
        <w:t xml:space="preserve">递交评审报告； </w:t>
      </w:r>
    </w:p>
    <w:p>
      <w:pPr>
        <w:widowControl/>
      </w:pPr>
      <w:r>
        <w:rPr>
          <w:rFonts w:hint="eastAsia"/>
          <w:color w:val="000000"/>
          <w:sz w:val="24"/>
          <w:szCs w:val="24"/>
          <w:lang w:val="en-US"/>
        </w:rPr>
        <w:t xml:space="preserve">7、评审委员会解散，评审结束。 </w:t>
      </w:r>
    </w:p>
    <w:p>
      <w:pPr>
        <w:widowControl/>
      </w:pPr>
      <w:r>
        <w:rPr>
          <w:rFonts w:hint="eastAsia"/>
          <w:b/>
          <w:color w:val="000000"/>
          <w:sz w:val="24"/>
          <w:szCs w:val="24"/>
          <w:lang w:val="en-US"/>
        </w:rPr>
        <w:t xml:space="preserve">（二）特殊情况的处置程序 </w:t>
      </w:r>
    </w:p>
    <w:p>
      <w:pPr>
        <w:widowControl/>
      </w:pPr>
      <w:r>
        <w:rPr>
          <w:rFonts w:hint="eastAsia"/>
          <w:color w:val="000000"/>
          <w:sz w:val="24"/>
          <w:szCs w:val="24"/>
          <w:lang w:val="en-US"/>
        </w:rPr>
        <w:t xml:space="preserve">1、关于评审活动暂停 </w:t>
      </w:r>
    </w:p>
    <w:p>
      <w:pPr>
        <w:widowControl/>
      </w:pPr>
      <w:r>
        <w:rPr>
          <w:rFonts w:hint="eastAsia"/>
          <w:color w:val="000000"/>
          <w:sz w:val="24"/>
          <w:szCs w:val="24"/>
          <w:lang w:val="en-US"/>
        </w:rPr>
        <w:t xml:space="preserve">（1）评审委员会应当执行连续评审的原则，按本评审办法中规定的程序、内容、方法、标准完成全部评审工作。只有发生不可抗力导致评审工作无法继续时，评审活动方可暂停。 </w:t>
      </w:r>
    </w:p>
    <w:p>
      <w:pPr>
        <w:widowControl/>
      </w:pPr>
      <w:r>
        <w:rPr>
          <w:rFonts w:hint="eastAsia"/>
          <w:color w:val="000000"/>
          <w:sz w:val="24"/>
          <w:szCs w:val="24"/>
          <w:lang w:val="en-US"/>
        </w:rPr>
        <w:t>（2）发生评审暂停情况时，评审委员会应当封存全部</w:t>
      </w:r>
      <w:r>
        <w:rPr>
          <w:rFonts w:hint="eastAsia"/>
          <w:color w:val="000000"/>
          <w:sz w:val="24"/>
          <w:szCs w:val="24"/>
          <w:lang w:val="en-US" w:eastAsia="zh-CN"/>
        </w:rPr>
        <w:t>竞争性磋商文件</w:t>
      </w:r>
      <w:r>
        <w:rPr>
          <w:rFonts w:hint="eastAsia"/>
          <w:color w:val="000000"/>
          <w:sz w:val="24"/>
          <w:szCs w:val="24"/>
          <w:lang w:val="en-US"/>
        </w:rPr>
        <w:t xml:space="preserve">和评审记录，待不可抗力的影响结束且具备继续评审的条件时，由原评审委员会继续评审。 </w:t>
      </w:r>
    </w:p>
    <w:p>
      <w:pPr>
        <w:widowControl/>
      </w:pPr>
      <w:r>
        <w:rPr>
          <w:rFonts w:hint="eastAsia"/>
          <w:color w:val="000000"/>
          <w:sz w:val="24"/>
          <w:szCs w:val="24"/>
          <w:lang w:val="en-US"/>
        </w:rPr>
        <w:t xml:space="preserve">2、关于评审中途更换评审委员会成员 </w:t>
      </w:r>
    </w:p>
    <w:p>
      <w:pPr>
        <w:widowControl/>
      </w:pPr>
      <w:r>
        <w:rPr>
          <w:rFonts w:hint="eastAsia"/>
          <w:color w:val="000000"/>
          <w:sz w:val="24"/>
          <w:szCs w:val="24"/>
          <w:lang w:val="en-US"/>
        </w:rPr>
        <w:t xml:space="preserve">除非发生下列情况之一，评审委员会成员不得在评审中途更换： </w:t>
      </w:r>
    </w:p>
    <w:p>
      <w:pPr>
        <w:widowControl/>
      </w:pPr>
      <w:r>
        <w:rPr>
          <w:rFonts w:hint="eastAsia"/>
          <w:color w:val="000000"/>
          <w:sz w:val="24"/>
          <w:szCs w:val="24"/>
          <w:lang w:val="en-US"/>
        </w:rPr>
        <w:t xml:space="preserve">（1）因不可抗拒的客观原因，不能到场或需在评审中途退出评审活动； </w:t>
      </w:r>
    </w:p>
    <w:p>
      <w:pPr>
        <w:widowControl/>
      </w:pPr>
      <w:r>
        <w:rPr>
          <w:rFonts w:hint="eastAsia"/>
          <w:color w:val="000000"/>
          <w:sz w:val="24"/>
          <w:szCs w:val="24"/>
          <w:lang w:val="en-US"/>
        </w:rPr>
        <w:t xml:space="preserve">（2）发现某评审委员会成员不符合法律法规及政府规章规定的评审委员会成员应实施回避的； </w:t>
      </w:r>
    </w:p>
    <w:p>
      <w:pPr>
        <w:widowControl/>
      </w:pPr>
      <w:r>
        <w:rPr>
          <w:rFonts w:hint="eastAsia"/>
          <w:color w:val="000000"/>
          <w:sz w:val="24"/>
          <w:szCs w:val="24"/>
          <w:lang w:val="en-US"/>
        </w:rPr>
        <w:t xml:space="preserve">（3）退出评审的评审委员会成员，其已完成的评审行为无效； </w:t>
      </w:r>
    </w:p>
    <w:p>
      <w:pPr>
        <w:widowControl/>
      </w:pPr>
      <w:r>
        <w:rPr>
          <w:rFonts w:hint="eastAsia"/>
          <w:color w:val="000000"/>
          <w:sz w:val="24"/>
          <w:szCs w:val="24"/>
          <w:lang w:val="en-US"/>
        </w:rPr>
        <w:t xml:space="preserve">（4）由采购人根据本办法规定评审委员会成员产生方式另行确定替代者进行评审。 </w:t>
      </w:r>
    </w:p>
    <w:p>
      <w:pPr>
        <w:widowControl/>
      </w:pPr>
      <w:r>
        <w:rPr>
          <w:rFonts w:hint="eastAsia"/>
          <w:b/>
          <w:color w:val="000000"/>
          <w:sz w:val="24"/>
          <w:szCs w:val="24"/>
          <w:lang w:val="en-US"/>
        </w:rPr>
        <w:t xml:space="preserve">四、评审内容与方法： </w:t>
      </w:r>
    </w:p>
    <w:p>
      <w:pPr>
        <w:widowControl/>
      </w:pPr>
      <w:r>
        <w:rPr>
          <w:rFonts w:hint="eastAsia"/>
          <w:b/>
          <w:color w:val="000000"/>
          <w:sz w:val="24"/>
          <w:szCs w:val="24"/>
          <w:lang w:val="en-US"/>
        </w:rPr>
        <w:t xml:space="preserve">（一）资格审查（见资格审查表） </w:t>
      </w:r>
    </w:p>
    <w:p>
      <w:pPr>
        <w:widowControl/>
      </w:pPr>
      <w:r>
        <w:rPr>
          <w:rFonts w:hint="eastAsia"/>
          <w:b/>
          <w:color w:val="000000"/>
          <w:sz w:val="24"/>
          <w:szCs w:val="24"/>
          <w:lang w:val="en-US"/>
        </w:rPr>
        <w:t xml:space="preserve">（二）初步评审 </w:t>
      </w:r>
    </w:p>
    <w:p>
      <w:pPr>
        <w:widowControl/>
      </w:pPr>
      <w:r>
        <w:rPr>
          <w:rFonts w:hint="eastAsia"/>
          <w:color w:val="000000"/>
          <w:sz w:val="24"/>
          <w:szCs w:val="24"/>
          <w:lang w:val="en-US"/>
        </w:rPr>
        <w:t>评审委员会根据招标文件对所有</w:t>
      </w:r>
      <w:r>
        <w:rPr>
          <w:rFonts w:hint="eastAsia"/>
          <w:color w:val="000000"/>
          <w:sz w:val="24"/>
          <w:szCs w:val="24"/>
          <w:lang w:val="en-US" w:eastAsia="zh-CN"/>
        </w:rPr>
        <w:t>竞争性磋商文件</w:t>
      </w:r>
      <w:r>
        <w:rPr>
          <w:rFonts w:hint="eastAsia"/>
          <w:color w:val="000000"/>
          <w:sz w:val="24"/>
          <w:szCs w:val="24"/>
          <w:lang w:val="en-US"/>
        </w:rPr>
        <w:t>进行审查，不响应招标文件的实质性要求和条件的</w:t>
      </w:r>
      <w:r>
        <w:rPr>
          <w:rFonts w:hint="eastAsia"/>
          <w:color w:val="000000"/>
          <w:sz w:val="24"/>
          <w:szCs w:val="24"/>
          <w:lang w:val="en-US" w:eastAsia="zh-CN"/>
        </w:rPr>
        <w:t>竞争性磋商文件</w:t>
      </w:r>
      <w:r>
        <w:rPr>
          <w:rFonts w:hint="eastAsia"/>
          <w:color w:val="000000"/>
          <w:sz w:val="24"/>
          <w:szCs w:val="24"/>
          <w:lang w:val="en-US"/>
        </w:rPr>
        <w:t>将被拒绝，并且不允许相关投标人通过修正或撤消其不符合要求的差异或保留而使其成为响应性的投标。初步评审被拒绝的</w:t>
      </w:r>
      <w:r>
        <w:rPr>
          <w:rFonts w:hint="eastAsia"/>
          <w:color w:val="000000"/>
          <w:sz w:val="24"/>
          <w:szCs w:val="24"/>
          <w:lang w:val="en-US" w:eastAsia="zh-CN"/>
        </w:rPr>
        <w:t>竞争性磋商文件</w:t>
      </w:r>
      <w:r>
        <w:rPr>
          <w:rFonts w:hint="eastAsia"/>
          <w:color w:val="000000"/>
          <w:sz w:val="24"/>
          <w:szCs w:val="24"/>
          <w:lang w:val="en-US"/>
        </w:rPr>
        <w:t>，不再参与任何后续评审。</w:t>
      </w:r>
    </w:p>
    <w:p>
      <w:pPr>
        <w:widowControl/>
      </w:pPr>
      <w:r>
        <w:rPr>
          <w:rFonts w:hint="eastAsia"/>
          <w:b/>
          <w:color w:val="000000"/>
          <w:sz w:val="24"/>
          <w:szCs w:val="24"/>
          <w:lang w:val="en-US" w:eastAsia="zh-CN"/>
        </w:rPr>
        <w:t>竞争性磋商文件</w:t>
      </w:r>
      <w:r>
        <w:rPr>
          <w:rFonts w:hint="eastAsia"/>
          <w:b/>
          <w:color w:val="000000"/>
          <w:sz w:val="24"/>
          <w:szCs w:val="24"/>
          <w:lang w:val="en-US"/>
        </w:rPr>
        <w:t>出现下列情形之一的，由评审委员会初审后作为无效</w:t>
      </w:r>
      <w:r>
        <w:rPr>
          <w:rFonts w:hint="eastAsia"/>
          <w:b/>
          <w:color w:val="000000"/>
          <w:sz w:val="24"/>
          <w:szCs w:val="24"/>
          <w:lang w:val="en-US" w:eastAsia="zh-CN"/>
        </w:rPr>
        <w:t>竞争性磋商文件</w:t>
      </w:r>
      <w:r>
        <w:rPr>
          <w:rFonts w:hint="eastAsia"/>
          <w:b/>
          <w:color w:val="000000"/>
          <w:sz w:val="24"/>
          <w:szCs w:val="24"/>
          <w:lang w:val="en-US"/>
        </w:rPr>
        <w:t xml:space="preserve">处理： </w:t>
      </w:r>
    </w:p>
    <w:p>
      <w:pPr>
        <w:widowControl/>
      </w:pPr>
      <w:r>
        <w:rPr>
          <w:rFonts w:hint="eastAsia"/>
          <w:b/>
          <w:color w:val="000000"/>
          <w:sz w:val="24"/>
          <w:szCs w:val="24"/>
          <w:lang w:val="en-US"/>
        </w:rPr>
        <w:t>1、</w:t>
      </w:r>
      <w:r>
        <w:rPr>
          <w:rFonts w:hint="eastAsia"/>
          <w:b/>
          <w:color w:val="000000"/>
          <w:sz w:val="24"/>
          <w:szCs w:val="24"/>
          <w:lang w:val="en-US" w:eastAsia="zh-CN"/>
        </w:rPr>
        <w:t>竞争性磋商文件</w:t>
      </w:r>
      <w:r>
        <w:rPr>
          <w:rFonts w:hint="eastAsia"/>
          <w:b/>
          <w:color w:val="000000"/>
          <w:sz w:val="24"/>
          <w:szCs w:val="24"/>
          <w:lang w:val="en-US"/>
        </w:rPr>
        <w:t xml:space="preserve">的内容不全或者关键内容字迹模糊、无法辨认的； </w:t>
      </w:r>
    </w:p>
    <w:p>
      <w:pPr>
        <w:widowControl/>
      </w:pPr>
      <w:r>
        <w:rPr>
          <w:rFonts w:hint="eastAsia"/>
          <w:b/>
          <w:color w:val="000000"/>
          <w:sz w:val="24"/>
          <w:szCs w:val="24"/>
          <w:lang w:val="en-US"/>
        </w:rPr>
        <w:t>2、</w:t>
      </w:r>
      <w:r>
        <w:rPr>
          <w:rFonts w:hint="eastAsia"/>
          <w:b/>
          <w:color w:val="000000"/>
          <w:sz w:val="24"/>
          <w:szCs w:val="24"/>
          <w:lang w:val="en-US" w:eastAsia="zh-CN"/>
        </w:rPr>
        <w:t>竞争性磋商文件</w:t>
      </w:r>
      <w:r>
        <w:rPr>
          <w:rFonts w:hint="eastAsia"/>
          <w:b/>
          <w:color w:val="000000"/>
          <w:sz w:val="24"/>
          <w:szCs w:val="24"/>
          <w:lang w:val="en-US"/>
        </w:rPr>
        <w:t>封面没有按招标文件的规定和要求签字盖章；</w:t>
      </w:r>
      <w:r>
        <w:rPr>
          <w:rFonts w:hint="eastAsia"/>
          <w:b/>
          <w:color w:val="000000"/>
          <w:sz w:val="24"/>
          <w:szCs w:val="24"/>
          <w:lang w:val="en-US" w:eastAsia="zh-CN"/>
        </w:rPr>
        <w:t>竞争性磋商文件</w:t>
      </w:r>
      <w:r>
        <w:rPr>
          <w:rFonts w:hint="eastAsia"/>
          <w:b/>
          <w:color w:val="000000"/>
          <w:sz w:val="24"/>
          <w:szCs w:val="24"/>
          <w:lang w:val="en-US"/>
        </w:rPr>
        <w:t xml:space="preserve">未按要求加盖 </w:t>
      </w:r>
    </w:p>
    <w:p>
      <w:pPr>
        <w:widowControl/>
      </w:pPr>
      <w:r>
        <w:rPr>
          <w:rFonts w:hint="eastAsia"/>
          <w:b/>
          <w:color w:val="000000"/>
          <w:sz w:val="24"/>
          <w:szCs w:val="24"/>
          <w:lang w:val="en-US"/>
        </w:rPr>
        <w:t xml:space="preserve">签章； </w:t>
      </w:r>
    </w:p>
    <w:p>
      <w:pPr>
        <w:widowControl/>
      </w:pPr>
      <w:r>
        <w:rPr>
          <w:rFonts w:hint="eastAsia"/>
          <w:b/>
          <w:color w:val="000000"/>
          <w:sz w:val="24"/>
          <w:szCs w:val="24"/>
          <w:lang w:val="en-US"/>
        </w:rPr>
        <w:t>3、投标人在一份</w:t>
      </w:r>
      <w:r>
        <w:rPr>
          <w:rFonts w:hint="eastAsia"/>
          <w:b/>
          <w:color w:val="000000"/>
          <w:sz w:val="24"/>
          <w:szCs w:val="24"/>
          <w:lang w:val="en-US" w:eastAsia="zh-CN"/>
        </w:rPr>
        <w:t>竞争性磋商文件</w:t>
      </w:r>
      <w:r>
        <w:rPr>
          <w:rFonts w:hint="eastAsia"/>
          <w:b/>
          <w:color w:val="000000"/>
          <w:sz w:val="24"/>
          <w:szCs w:val="24"/>
          <w:lang w:val="en-US"/>
        </w:rPr>
        <w:t xml:space="preserve">中对同一招标项目报价有两个或多个报价的； </w:t>
      </w:r>
    </w:p>
    <w:p>
      <w:pPr>
        <w:widowControl/>
      </w:pPr>
      <w:r>
        <w:rPr>
          <w:rFonts w:hint="eastAsia"/>
          <w:b/>
          <w:color w:val="000000"/>
          <w:sz w:val="24"/>
          <w:szCs w:val="24"/>
          <w:lang w:val="en-US"/>
        </w:rPr>
        <w:t>4、投标人的投标报价、服务周期、质量要求等实质性内容不满足本招标文件要求的；</w:t>
      </w:r>
    </w:p>
    <w:p>
      <w:pPr>
        <w:widowControl/>
      </w:pPr>
      <w:r>
        <w:rPr>
          <w:rFonts w:hint="eastAsia"/>
          <w:b/>
          <w:color w:val="000000"/>
          <w:sz w:val="24"/>
          <w:szCs w:val="24"/>
          <w:lang w:val="en-US"/>
        </w:rPr>
        <w:t xml:space="preserve">5、投标人名称与资格审查时不一致的 </w:t>
      </w:r>
    </w:p>
    <w:p>
      <w:pPr>
        <w:widowControl/>
      </w:pPr>
      <w:r>
        <w:rPr>
          <w:rFonts w:hint="eastAsia"/>
          <w:b/>
          <w:color w:val="000000"/>
          <w:sz w:val="24"/>
          <w:szCs w:val="24"/>
          <w:lang w:val="en-US"/>
        </w:rPr>
        <w:t>6、</w:t>
      </w:r>
      <w:r>
        <w:rPr>
          <w:rFonts w:hint="eastAsia"/>
          <w:b/>
          <w:color w:val="000000"/>
          <w:sz w:val="24"/>
          <w:szCs w:val="24"/>
          <w:lang w:val="en-US" w:eastAsia="zh-CN"/>
        </w:rPr>
        <w:t>竞争性磋商文件</w:t>
      </w:r>
      <w:r>
        <w:rPr>
          <w:rFonts w:hint="eastAsia"/>
          <w:b/>
          <w:color w:val="000000"/>
          <w:sz w:val="24"/>
          <w:szCs w:val="24"/>
          <w:lang w:val="en-US"/>
        </w:rPr>
        <w:t xml:space="preserve">附有采购人不能接受的条件； </w:t>
      </w:r>
    </w:p>
    <w:p>
      <w:pPr>
        <w:widowControl/>
      </w:pPr>
      <w:r>
        <w:rPr>
          <w:rFonts w:hint="eastAsia"/>
          <w:b/>
          <w:color w:val="000000"/>
          <w:sz w:val="24"/>
          <w:szCs w:val="24"/>
          <w:lang w:val="en-US"/>
        </w:rPr>
        <w:t xml:space="preserve">7、报价超出本招标文件规定的最高限价（上拦标价）的； </w:t>
      </w:r>
    </w:p>
    <w:p>
      <w:pPr>
        <w:widowControl/>
      </w:pPr>
      <w:r>
        <w:rPr>
          <w:rFonts w:hint="eastAsia"/>
          <w:b/>
          <w:color w:val="000000"/>
          <w:sz w:val="24"/>
          <w:szCs w:val="24"/>
          <w:lang w:val="en-US"/>
        </w:rPr>
        <w:t xml:space="preserve">8、拒绝接受按第 5.6.1 条原则修正报价的； </w:t>
      </w:r>
    </w:p>
    <w:p>
      <w:pPr>
        <w:widowControl/>
      </w:pPr>
      <w:r>
        <w:rPr>
          <w:rFonts w:hint="eastAsia"/>
          <w:b/>
          <w:color w:val="000000"/>
          <w:sz w:val="24"/>
          <w:szCs w:val="24"/>
          <w:lang w:val="en-US"/>
        </w:rPr>
        <w:t xml:space="preserve">9、不符合招标文件中规定的其他实质性要求，存在重大偏差的。 </w:t>
      </w:r>
    </w:p>
    <w:p>
      <w:pPr>
        <w:widowControl/>
      </w:pPr>
      <w:r>
        <w:rPr>
          <w:rFonts w:hint="eastAsia"/>
          <w:b/>
          <w:color w:val="000000"/>
          <w:sz w:val="24"/>
          <w:szCs w:val="24"/>
          <w:lang w:val="en-US"/>
        </w:rPr>
        <w:t xml:space="preserve">（三）详细评审 </w:t>
      </w:r>
    </w:p>
    <w:p>
      <w:pPr>
        <w:widowControl/>
      </w:pPr>
      <w:r>
        <w:rPr>
          <w:rFonts w:hint="eastAsia"/>
          <w:color w:val="000000"/>
          <w:sz w:val="24"/>
          <w:szCs w:val="24"/>
          <w:lang w:val="en-US" w:bidi="ar"/>
        </w:rPr>
        <w:t>1、评审委员会根据招标文件规定对投标人的</w:t>
      </w:r>
      <w:r>
        <w:rPr>
          <w:rFonts w:hint="eastAsia"/>
          <w:color w:val="000000"/>
          <w:sz w:val="24"/>
          <w:szCs w:val="24"/>
          <w:lang w:val="en-US" w:eastAsia="zh-CN" w:bidi="ar"/>
        </w:rPr>
        <w:t>竞争性磋商文件</w:t>
      </w:r>
      <w:r>
        <w:rPr>
          <w:rFonts w:hint="eastAsia"/>
          <w:color w:val="000000"/>
          <w:sz w:val="24"/>
          <w:szCs w:val="24"/>
          <w:lang w:val="en-US" w:bidi="ar"/>
        </w:rPr>
        <w:t xml:space="preserve">中的投标报价、实施方案等逐项打分后，取其平均值，作为该投标人的投标总得分。评分计算均保留 2 位小数（百 分比亦取 2 位小数），第三位小数四舍五入； </w:t>
      </w:r>
    </w:p>
    <w:p>
      <w:pPr>
        <w:widowControl/>
      </w:pPr>
      <w:r>
        <w:rPr>
          <w:rFonts w:hint="eastAsia"/>
          <w:color w:val="000000"/>
          <w:sz w:val="24"/>
          <w:szCs w:val="24"/>
          <w:lang w:val="en-US" w:bidi="ar"/>
        </w:rPr>
        <w:t>2、评分内容及所占分值见附表</w:t>
      </w:r>
    </w:p>
    <w:p>
      <w:pPr>
        <w:widowControl/>
      </w:pPr>
      <w:r>
        <w:rPr>
          <w:rFonts w:hint="eastAsia"/>
          <w:b/>
          <w:color w:val="000000"/>
          <w:sz w:val="24"/>
          <w:szCs w:val="24"/>
          <w:lang w:val="en-US"/>
        </w:rPr>
        <w:t xml:space="preserve">五、评审报告、确定中标候选人 </w:t>
      </w:r>
    </w:p>
    <w:p>
      <w:pPr>
        <w:widowControl/>
      </w:pPr>
      <w:r>
        <w:rPr>
          <w:rFonts w:hint="eastAsia"/>
          <w:b/>
          <w:color w:val="000000"/>
          <w:sz w:val="24"/>
          <w:szCs w:val="24"/>
          <w:lang w:val="en-US"/>
        </w:rPr>
        <w:t xml:space="preserve">（一）评审报告 </w:t>
      </w:r>
    </w:p>
    <w:p>
      <w:pPr>
        <w:widowControl/>
      </w:pPr>
      <w:r>
        <w:rPr>
          <w:rFonts w:hint="eastAsia"/>
          <w:color w:val="000000"/>
          <w:sz w:val="24"/>
          <w:szCs w:val="24"/>
          <w:lang w:val="en-US"/>
        </w:rPr>
        <w:t xml:space="preserve">评审委员会完成评审后，应当向采购人提交书面评审报告，并报送有关行政监督部门备案。评审报告应当由全体评审委员会成员签字，并如实记载以下内容： </w:t>
      </w:r>
    </w:p>
    <w:p>
      <w:pPr>
        <w:widowControl/>
      </w:pPr>
      <w:r>
        <w:rPr>
          <w:rFonts w:hint="eastAsia"/>
          <w:color w:val="000000"/>
          <w:sz w:val="24"/>
          <w:szCs w:val="24"/>
          <w:lang w:val="en-US"/>
        </w:rPr>
        <w:t xml:space="preserve">1、基本情况和数据表； </w:t>
      </w:r>
    </w:p>
    <w:p>
      <w:pPr>
        <w:widowControl/>
      </w:pPr>
      <w:r>
        <w:rPr>
          <w:rFonts w:hint="eastAsia"/>
          <w:color w:val="000000"/>
          <w:sz w:val="24"/>
          <w:szCs w:val="24"/>
          <w:lang w:val="en-US"/>
        </w:rPr>
        <w:t xml:space="preserve">2、评审委员会成员名单； </w:t>
      </w:r>
    </w:p>
    <w:p>
      <w:pPr>
        <w:widowControl/>
      </w:pPr>
      <w:r>
        <w:rPr>
          <w:rFonts w:hint="eastAsia"/>
          <w:color w:val="000000"/>
          <w:sz w:val="24"/>
          <w:szCs w:val="24"/>
          <w:lang w:val="en-US"/>
        </w:rPr>
        <w:t xml:space="preserve">3、开标记录； </w:t>
      </w:r>
    </w:p>
    <w:p>
      <w:pPr>
        <w:widowControl/>
      </w:pPr>
      <w:r>
        <w:rPr>
          <w:rFonts w:hint="eastAsia"/>
          <w:color w:val="000000"/>
          <w:sz w:val="24"/>
          <w:szCs w:val="24"/>
          <w:lang w:val="en-US"/>
        </w:rPr>
        <w:t xml:space="preserve">4、符合要求的投标一览表； </w:t>
      </w:r>
    </w:p>
    <w:p>
      <w:pPr>
        <w:widowControl/>
      </w:pPr>
      <w:r>
        <w:rPr>
          <w:rFonts w:hint="eastAsia"/>
          <w:color w:val="000000"/>
          <w:sz w:val="24"/>
          <w:szCs w:val="24"/>
          <w:lang w:val="en-US"/>
        </w:rPr>
        <w:t xml:space="preserve">5、废标情况说明； </w:t>
      </w:r>
    </w:p>
    <w:p>
      <w:pPr>
        <w:widowControl/>
        <w:rPr>
          <w:color w:val="000000"/>
          <w:sz w:val="24"/>
          <w:szCs w:val="24"/>
          <w:lang w:val="en-US"/>
        </w:rPr>
      </w:pPr>
      <w:r>
        <w:rPr>
          <w:rFonts w:hint="eastAsia"/>
          <w:color w:val="000000"/>
          <w:sz w:val="24"/>
          <w:szCs w:val="24"/>
          <w:lang w:val="en-US"/>
        </w:rPr>
        <w:t>6、评审标准、评审方法一览表；</w:t>
      </w:r>
    </w:p>
    <w:p>
      <w:pPr>
        <w:widowControl/>
      </w:pPr>
      <w:r>
        <w:rPr>
          <w:rFonts w:hint="eastAsia"/>
          <w:color w:val="000000"/>
          <w:sz w:val="24"/>
          <w:szCs w:val="24"/>
          <w:lang w:val="en-US" w:bidi="ar"/>
        </w:rPr>
        <w:t>7、经评审的价格及评分一览表；</w:t>
      </w:r>
    </w:p>
    <w:p>
      <w:pPr>
        <w:widowControl/>
      </w:pPr>
      <w:r>
        <w:rPr>
          <w:rFonts w:hint="eastAsia"/>
          <w:color w:val="000000"/>
          <w:sz w:val="24"/>
          <w:szCs w:val="24"/>
          <w:lang w:val="en-US"/>
        </w:rPr>
        <w:t xml:space="preserve">8、经评审的投标人排序； </w:t>
      </w:r>
    </w:p>
    <w:p>
      <w:pPr>
        <w:widowControl/>
      </w:pPr>
      <w:r>
        <w:rPr>
          <w:rFonts w:hint="eastAsia"/>
          <w:color w:val="000000"/>
          <w:sz w:val="24"/>
          <w:szCs w:val="24"/>
          <w:lang w:val="en-US"/>
        </w:rPr>
        <w:t xml:space="preserve">9、推荐的中标候选人名单； </w:t>
      </w:r>
    </w:p>
    <w:p>
      <w:pPr>
        <w:widowControl/>
      </w:pPr>
      <w:r>
        <w:rPr>
          <w:rFonts w:hint="eastAsia"/>
          <w:color w:val="000000"/>
          <w:sz w:val="24"/>
          <w:szCs w:val="24"/>
          <w:lang w:val="en-US"/>
        </w:rPr>
        <w:t xml:space="preserve">10、澄清、说明、事项纪要。 </w:t>
      </w:r>
    </w:p>
    <w:p>
      <w:pPr>
        <w:widowControl/>
      </w:pPr>
      <w:r>
        <w:rPr>
          <w:rFonts w:hint="eastAsia"/>
          <w:b/>
          <w:color w:val="000000"/>
          <w:sz w:val="24"/>
          <w:szCs w:val="24"/>
          <w:lang w:val="en-US"/>
        </w:rPr>
        <w:t xml:space="preserve">（二）评审委员会应遵照以下原则推荐中标候选人： </w:t>
      </w:r>
    </w:p>
    <w:p>
      <w:pPr>
        <w:widowControl/>
      </w:pPr>
      <w:r>
        <w:rPr>
          <w:rFonts w:hint="eastAsia"/>
          <w:color w:val="000000"/>
          <w:sz w:val="24"/>
          <w:szCs w:val="24"/>
          <w:lang w:val="en-US" w:bidi="ar"/>
        </w:rPr>
        <w:t>1、评审委员会按总得分由高至低的次序，推荐排名次序位于前 3 名的投标人作为中标候选人。如果在排序中出现评审得分相同的情况，则投标价格较低的投标人排序优先；如果投标价格也一样，则由评审委员会按业绩排序业绩合同额高的投标人排序优先。</w:t>
      </w:r>
    </w:p>
    <w:p>
      <w:pPr>
        <w:widowControl/>
      </w:pPr>
      <w:r>
        <w:rPr>
          <w:rFonts w:hint="eastAsia"/>
          <w:color w:val="000000"/>
          <w:sz w:val="24"/>
          <w:szCs w:val="24"/>
          <w:lang w:val="en-US"/>
        </w:rPr>
        <w:t>2、递交</w:t>
      </w:r>
      <w:r>
        <w:rPr>
          <w:rFonts w:hint="eastAsia"/>
          <w:color w:val="000000"/>
          <w:sz w:val="24"/>
          <w:szCs w:val="24"/>
          <w:lang w:val="en-US" w:eastAsia="zh-CN"/>
        </w:rPr>
        <w:t>竞争性磋商文件</w:t>
      </w:r>
      <w:r>
        <w:rPr>
          <w:rFonts w:hint="eastAsia"/>
          <w:color w:val="000000"/>
          <w:sz w:val="24"/>
          <w:szCs w:val="24"/>
          <w:lang w:val="en-US"/>
        </w:rPr>
        <w:t xml:space="preserve">的投标人数量少于三家，采购人应当依法重新招标。 </w:t>
      </w:r>
    </w:p>
    <w:p>
      <w:pPr>
        <w:widowControl/>
      </w:pPr>
      <w:r>
        <w:rPr>
          <w:rFonts w:hint="eastAsia"/>
          <w:b/>
          <w:color w:val="000000"/>
          <w:sz w:val="24"/>
          <w:szCs w:val="24"/>
          <w:lang w:val="en-US"/>
        </w:rPr>
        <w:t xml:space="preserve">六、确定中标人 </w:t>
      </w:r>
    </w:p>
    <w:p>
      <w:pPr>
        <w:widowControl/>
        <w:rPr>
          <w:color w:val="000000"/>
          <w:sz w:val="24"/>
          <w:szCs w:val="24"/>
          <w:lang w:val="en-US"/>
        </w:rPr>
      </w:pPr>
      <w:r>
        <w:rPr>
          <w:rFonts w:hint="eastAsia"/>
          <w:color w:val="000000"/>
          <w:sz w:val="24"/>
          <w:szCs w:val="24"/>
          <w:lang w:val="en-US"/>
        </w:rPr>
        <w:t xml:space="preserve">按照评审委员会推荐的中标候选人顺序，采购人授权评审委员会直接确定排名第一的中标候选人为中标人。如果排名第一的中标候选人放弃中标、因不可抗力提出不能履 行合同，采购人可以选择排名第二的中标候选人为中标人或重新组织招标。排名第二的 中标候选人因上述规定同样的原因不能签订合同的，采购人可以选择排名第三的中标候选人为中标人或重新组织招标。 </w:t>
      </w: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rPr>
          <w:rFonts w:hint="eastAsia"/>
          <w:color w:val="000000"/>
          <w:sz w:val="24"/>
          <w:szCs w:val="24"/>
          <w:lang w:val="en-US"/>
        </w:rPr>
      </w:pPr>
    </w:p>
    <w:p>
      <w:pPr>
        <w:widowControl/>
      </w:pPr>
      <w:r>
        <w:rPr>
          <w:rFonts w:hint="eastAsia"/>
          <w:color w:val="000000"/>
          <w:sz w:val="24"/>
          <w:szCs w:val="24"/>
          <w:lang w:val="en-US"/>
        </w:rPr>
        <w:t>附表一、</w:t>
      </w:r>
      <w:r>
        <w:rPr>
          <w:rFonts w:hint="eastAsia"/>
          <w:b/>
          <w:color w:val="000000"/>
          <w:sz w:val="28"/>
          <w:szCs w:val="28"/>
          <w:lang w:val="en-US" w:bidi="ar"/>
        </w:rPr>
        <w:t>资格审查表</w:t>
      </w:r>
    </w:p>
    <w:p>
      <w:pPr>
        <w:pStyle w:val="7"/>
        <w:spacing w:before="7" w:after="2"/>
        <w:ind w:right="49"/>
        <w:jc w:val="center"/>
      </w:pPr>
      <w:r>
        <w:t>资格后审必要合格条件标准</w:t>
      </w:r>
    </w:p>
    <w:p>
      <w:pPr>
        <w:widowControl/>
        <w:ind w:firstLine="8640" w:firstLineChars="3600"/>
      </w:pPr>
      <w:r>
        <w:rPr>
          <w:rFonts w:hint="eastAsia"/>
          <w:color w:val="000000"/>
          <w:sz w:val="24"/>
          <w:szCs w:val="24"/>
          <w:lang w:val="en-US" w:bidi="ar"/>
        </w:rPr>
        <w:t>年  月  日</w:t>
      </w:r>
    </w:p>
    <w:tbl>
      <w:tblPr>
        <w:tblStyle w:val="20"/>
        <w:tblW w:w="10114" w:type="dxa"/>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2479"/>
        <w:gridCol w:w="2654"/>
        <w:gridCol w:w="3009"/>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22" w:type="dxa"/>
            <w:vAlign w:val="center"/>
          </w:tcPr>
          <w:p>
            <w:pPr>
              <w:pStyle w:val="30"/>
              <w:spacing w:before="51" w:line="244" w:lineRule="auto"/>
              <w:ind w:left="210" w:right="198"/>
              <w:jc w:val="center"/>
              <w:rPr>
                <w:sz w:val="24"/>
                <w:szCs w:val="24"/>
              </w:rPr>
            </w:pPr>
            <w:r>
              <w:rPr>
                <w:sz w:val="24"/>
                <w:szCs w:val="24"/>
              </w:rPr>
              <w:t>序号</w:t>
            </w:r>
          </w:p>
        </w:tc>
        <w:tc>
          <w:tcPr>
            <w:tcW w:w="2479" w:type="dxa"/>
            <w:vAlign w:val="center"/>
          </w:tcPr>
          <w:p>
            <w:pPr>
              <w:pStyle w:val="30"/>
              <w:ind w:left="835"/>
              <w:jc w:val="both"/>
              <w:rPr>
                <w:sz w:val="24"/>
                <w:szCs w:val="24"/>
              </w:rPr>
            </w:pPr>
            <w:r>
              <w:rPr>
                <w:sz w:val="24"/>
                <w:szCs w:val="24"/>
              </w:rPr>
              <w:t>项目内容</w:t>
            </w:r>
          </w:p>
        </w:tc>
        <w:tc>
          <w:tcPr>
            <w:tcW w:w="2654" w:type="dxa"/>
            <w:vAlign w:val="center"/>
          </w:tcPr>
          <w:p>
            <w:pPr>
              <w:pStyle w:val="11"/>
              <w:jc w:val="center"/>
            </w:pPr>
            <w:r>
              <w:t>合格条件</w:t>
            </w:r>
          </w:p>
        </w:tc>
        <w:tc>
          <w:tcPr>
            <w:tcW w:w="3009" w:type="dxa"/>
            <w:vAlign w:val="center"/>
          </w:tcPr>
          <w:p>
            <w:pPr>
              <w:pStyle w:val="30"/>
              <w:ind w:right="178" w:firstLine="960" w:firstLineChars="400"/>
              <w:jc w:val="both"/>
              <w:rPr>
                <w:sz w:val="24"/>
                <w:szCs w:val="24"/>
              </w:rPr>
            </w:pPr>
            <w:r>
              <w:rPr>
                <w:sz w:val="24"/>
                <w:szCs w:val="24"/>
              </w:rPr>
              <w:t>备注</w:t>
            </w:r>
          </w:p>
        </w:tc>
        <w:tc>
          <w:tcPr>
            <w:tcW w:w="1350" w:type="dxa"/>
            <w:vAlign w:val="center"/>
          </w:tcPr>
          <w:p>
            <w:pPr>
              <w:pStyle w:val="30"/>
              <w:spacing w:before="8"/>
              <w:jc w:val="center"/>
              <w:rPr>
                <w:b/>
                <w:sz w:val="24"/>
                <w:szCs w:val="24"/>
              </w:rPr>
            </w:pPr>
          </w:p>
          <w:p>
            <w:pPr>
              <w:widowControl/>
            </w:pPr>
            <w:r>
              <w:rPr>
                <w:sz w:val="24"/>
                <w:szCs w:val="24"/>
              </w:rPr>
              <w:t>是否合格</w:t>
            </w:r>
            <w:r>
              <w:rPr>
                <w:rFonts w:hint="eastAsia"/>
                <w:color w:val="000000"/>
                <w:sz w:val="24"/>
                <w:szCs w:val="24"/>
                <w:lang w:val="en-US" w:bidi="ar"/>
              </w:rPr>
              <w:t xml:space="preserve">通 过（√） </w:t>
            </w:r>
          </w:p>
          <w:p>
            <w:pPr>
              <w:widowControl/>
            </w:pPr>
            <w:r>
              <w:rPr>
                <w:rFonts w:hint="eastAsia"/>
                <w:color w:val="000000"/>
                <w:sz w:val="24"/>
                <w:szCs w:val="24"/>
                <w:lang w:val="en-US" w:bidi="ar"/>
              </w:rPr>
              <w:t>不通过（×）</w:t>
            </w:r>
          </w:p>
          <w:p>
            <w:pPr>
              <w:pStyle w:val="30"/>
              <w:ind w:left="109"/>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622" w:type="dxa"/>
            <w:vAlign w:val="center"/>
          </w:tcPr>
          <w:p>
            <w:pPr>
              <w:pStyle w:val="30"/>
              <w:spacing w:before="13" w:line="239" w:lineRule="exact"/>
              <w:ind w:left="5"/>
              <w:jc w:val="center"/>
              <w:rPr>
                <w:rFonts w:ascii="Times New Roman"/>
                <w:w w:val="99"/>
                <w:sz w:val="24"/>
                <w:szCs w:val="24"/>
              </w:rPr>
            </w:pPr>
            <w:r>
              <w:rPr>
                <w:rFonts w:ascii="Times New Roman"/>
                <w:w w:val="99"/>
                <w:sz w:val="24"/>
                <w:szCs w:val="24"/>
              </w:rPr>
              <w:t>1</w:t>
            </w:r>
          </w:p>
        </w:tc>
        <w:tc>
          <w:tcPr>
            <w:tcW w:w="2479" w:type="dxa"/>
            <w:vAlign w:val="center"/>
          </w:tcPr>
          <w:p>
            <w:pPr>
              <w:pStyle w:val="30"/>
              <w:spacing w:before="13" w:line="239" w:lineRule="exact"/>
              <w:ind w:left="5"/>
              <w:jc w:val="center"/>
              <w:rPr>
                <w:rFonts w:ascii="Times New Roman"/>
                <w:w w:val="99"/>
                <w:sz w:val="24"/>
                <w:szCs w:val="24"/>
              </w:rPr>
            </w:pPr>
            <w:r>
              <w:rPr>
                <w:rFonts w:ascii="Times New Roman"/>
                <w:w w:val="99"/>
                <w:sz w:val="24"/>
                <w:szCs w:val="24"/>
              </w:rPr>
              <w:t>营业执照</w:t>
            </w:r>
          </w:p>
        </w:tc>
        <w:tc>
          <w:tcPr>
            <w:tcW w:w="2654" w:type="dxa"/>
            <w:vAlign w:val="center"/>
          </w:tcPr>
          <w:p>
            <w:pPr>
              <w:pStyle w:val="30"/>
              <w:spacing w:before="13" w:line="239" w:lineRule="exact"/>
              <w:ind w:left="5"/>
              <w:jc w:val="center"/>
              <w:rPr>
                <w:rFonts w:ascii="Times New Roman"/>
                <w:w w:val="99"/>
                <w:sz w:val="24"/>
                <w:szCs w:val="24"/>
              </w:rPr>
            </w:pPr>
            <w:r>
              <w:rPr>
                <w:rFonts w:ascii="Times New Roman"/>
                <w:w w:val="99"/>
                <w:sz w:val="24"/>
                <w:szCs w:val="24"/>
              </w:rPr>
              <w:t>合格有效</w:t>
            </w:r>
          </w:p>
        </w:tc>
        <w:tc>
          <w:tcPr>
            <w:tcW w:w="3009" w:type="dxa"/>
            <w:vAlign w:val="center"/>
          </w:tcPr>
          <w:p>
            <w:pPr>
              <w:pStyle w:val="30"/>
              <w:spacing w:before="13" w:line="239" w:lineRule="exact"/>
              <w:ind w:left="5"/>
              <w:jc w:val="center"/>
              <w:rPr>
                <w:rFonts w:ascii="Times New Roman"/>
                <w:w w:val="99"/>
                <w:sz w:val="24"/>
                <w:szCs w:val="24"/>
              </w:rPr>
            </w:pPr>
          </w:p>
        </w:tc>
        <w:tc>
          <w:tcPr>
            <w:tcW w:w="1350" w:type="dxa"/>
            <w:vAlign w:val="center"/>
          </w:tcPr>
          <w:p>
            <w:pPr>
              <w:pStyle w:val="30"/>
              <w:spacing w:before="13" w:line="239" w:lineRule="exact"/>
              <w:ind w:left="5"/>
              <w:jc w:val="center"/>
              <w:rPr>
                <w:rFonts w:ascii="Times New Roman"/>
                <w:w w:val="9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622" w:type="dxa"/>
            <w:vAlign w:val="center"/>
          </w:tcPr>
          <w:p>
            <w:pPr>
              <w:pStyle w:val="30"/>
              <w:spacing w:before="13" w:line="239" w:lineRule="exact"/>
              <w:ind w:left="5"/>
              <w:jc w:val="center"/>
              <w:rPr>
                <w:rFonts w:ascii="Times New Roman"/>
                <w:w w:val="99"/>
                <w:sz w:val="24"/>
                <w:szCs w:val="24"/>
                <w:lang w:val="en-US"/>
              </w:rPr>
            </w:pPr>
            <w:r>
              <w:rPr>
                <w:rFonts w:hint="eastAsia" w:ascii="Times New Roman"/>
                <w:w w:val="99"/>
                <w:sz w:val="24"/>
                <w:szCs w:val="24"/>
                <w:lang w:val="en-US"/>
              </w:rPr>
              <w:t>2</w:t>
            </w:r>
          </w:p>
        </w:tc>
        <w:tc>
          <w:tcPr>
            <w:tcW w:w="2479" w:type="dxa"/>
            <w:vAlign w:val="center"/>
          </w:tcPr>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 xml:space="preserve">企业信用信息公示报告 </w:t>
            </w:r>
          </w:p>
        </w:tc>
        <w:tc>
          <w:tcPr>
            <w:tcW w:w="2654" w:type="dxa"/>
            <w:vAlign w:val="center"/>
          </w:tcPr>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 xml:space="preserve">未被列入经营异常名 </w:t>
            </w:r>
          </w:p>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 xml:space="preserve">录或严重违法企业名 </w:t>
            </w:r>
          </w:p>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单</w:t>
            </w:r>
          </w:p>
          <w:p>
            <w:pPr>
              <w:pStyle w:val="30"/>
              <w:spacing w:before="13" w:line="239" w:lineRule="exact"/>
              <w:ind w:left="5"/>
              <w:jc w:val="center"/>
              <w:rPr>
                <w:rFonts w:ascii="Times New Roman"/>
                <w:w w:val="99"/>
                <w:sz w:val="24"/>
                <w:szCs w:val="24"/>
              </w:rPr>
            </w:pPr>
          </w:p>
        </w:tc>
        <w:tc>
          <w:tcPr>
            <w:tcW w:w="3009" w:type="dxa"/>
            <w:vAlign w:val="center"/>
          </w:tcPr>
          <w:p>
            <w:pPr>
              <w:pStyle w:val="30"/>
              <w:spacing w:before="13" w:line="239" w:lineRule="exact"/>
              <w:ind w:left="5"/>
              <w:jc w:val="center"/>
              <w:rPr>
                <w:rFonts w:ascii="Times New Roman"/>
                <w:w w:val="99"/>
                <w:sz w:val="24"/>
                <w:szCs w:val="24"/>
              </w:rPr>
            </w:pPr>
          </w:p>
        </w:tc>
        <w:tc>
          <w:tcPr>
            <w:tcW w:w="1350" w:type="dxa"/>
            <w:vAlign w:val="center"/>
          </w:tcPr>
          <w:p>
            <w:pPr>
              <w:pStyle w:val="30"/>
              <w:spacing w:before="13" w:line="239" w:lineRule="exact"/>
              <w:ind w:left="5"/>
              <w:jc w:val="center"/>
              <w:rPr>
                <w:rFonts w:ascii="Times New Roman"/>
                <w:w w:val="9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622" w:type="dxa"/>
            <w:vAlign w:val="center"/>
          </w:tcPr>
          <w:p>
            <w:pPr>
              <w:pStyle w:val="30"/>
              <w:spacing w:before="13" w:line="239" w:lineRule="exact"/>
              <w:ind w:left="5"/>
              <w:jc w:val="center"/>
              <w:rPr>
                <w:rFonts w:ascii="Times New Roman"/>
                <w:color w:val="auto"/>
                <w:w w:val="99"/>
                <w:sz w:val="24"/>
                <w:szCs w:val="24"/>
                <w:highlight w:val="none"/>
              </w:rPr>
            </w:pPr>
          </w:p>
          <w:p>
            <w:pPr>
              <w:pStyle w:val="30"/>
              <w:spacing w:before="13" w:line="239" w:lineRule="exact"/>
              <w:ind w:left="5"/>
              <w:jc w:val="center"/>
              <w:rPr>
                <w:rFonts w:ascii="Times New Roman"/>
                <w:color w:val="auto"/>
                <w:w w:val="99"/>
                <w:sz w:val="24"/>
                <w:szCs w:val="24"/>
                <w:highlight w:val="none"/>
              </w:rPr>
            </w:pPr>
          </w:p>
          <w:p>
            <w:pPr>
              <w:pStyle w:val="30"/>
              <w:spacing w:before="13" w:line="239" w:lineRule="exact"/>
              <w:ind w:left="5"/>
              <w:jc w:val="center"/>
              <w:rPr>
                <w:rFonts w:hint="eastAsia" w:ascii="Times New Roman" w:eastAsia="宋体"/>
                <w:color w:val="auto"/>
                <w:w w:val="99"/>
                <w:sz w:val="24"/>
                <w:szCs w:val="24"/>
                <w:highlight w:val="none"/>
                <w:lang w:eastAsia="zh-CN"/>
              </w:rPr>
            </w:pPr>
            <w:r>
              <w:rPr>
                <w:rFonts w:hint="eastAsia" w:ascii="Times New Roman"/>
                <w:color w:val="auto"/>
                <w:w w:val="99"/>
                <w:sz w:val="24"/>
                <w:szCs w:val="24"/>
                <w:highlight w:val="none"/>
                <w:lang w:val="en-US" w:eastAsia="zh-CN"/>
              </w:rPr>
              <w:t>3</w:t>
            </w:r>
          </w:p>
        </w:tc>
        <w:tc>
          <w:tcPr>
            <w:tcW w:w="2479" w:type="dxa"/>
            <w:vAlign w:val="center"/>
          </w:tcPr>
          <w:p>
            <w:pPr>
              <w:pStyle w:val="30"/>
              <w:spacing w:before="13" w:line="239" w:lineRule="exact"/>
              <w:ind w:left="5"/>
              <w:jc w:val="center"/>
              <w:rPr>
                <w:rFonts w:hint="eastAsia" w:ascii="Times New Roman" w:eastAsia="宋体"/>
                <w:color w:val="auto"/>
                <w:w w:val="99"/>
                <w:sz w:val="24"/>
                <w:szCs w:val="24"/>
                <w:highlight w:val="none"/>
                <w:lang w:eastAsia="zh-CN"/>
              </w:rPr>
            </w:pPr>
            <w:r>
              <w:rPr>
                <w:rFonts w:ascii="Times New Roman"/>
                <w:color w:val="auto"/>
                <w:w w:val="99"/>
                <w:sz w:val="24"/>
                <w:szCs w:val="24"/>
                <w:highlight w:val="none"/>
              </w:rPr>
              <w:t>企业基本账户的开户</w:t>
            </w:r>
            <w:r>
              <w:rPr>
                <w:rFonts w:hint="eastAsia" w:ascii="Times New Roman"/>
                <w:color w:val="auto"/>
                <w:w w:val="99"/>
                <w:sz w:val="24"/>
                <w:szCs w:val="24"/>
                <w:highlight w:val="none"/>
                <w:lang w:eastAsia="zh-CN"/>
              </w:rPr>
              <w:t>信息</w:t>
            </w:r>
          </w:p>
        </w:tc>
        <w:tc>
          <w:tcPr>
            <w:tcW w:w="2654" w:type="dxa"/>
            <w:vAlign w:val="center"/>
          </w:tcPr>
          <w:p>
            <w:pPr>
              <w:pStyle w:val="30"/>
              <w:spacing w:before="13" w:line="239" w:lineRule="exact"/>
              <w:ind w:left="5"/>
              <w:jc w:val="center"/>
              <w:rPr>
                <w:rFonts w:ascii="Times New Roman"/>
                <w:color w:val="auto"/>
                <w:w w:val="99"/>
                <w:sz w:val="24"/>
                <w:szCs w:val="24"/>
                <w:highlight w:val="none"/>
              </w:rPr>
            </w:pPr>
          </w:p>
          <w:p>
            <w:pPr>
              <w:pStyle w:val="30"/>
              <w:spacing w:before="13" w:line="239" w:lineRule="exact"/>
              <w:ind w:left="5"/>
              <w:jc w:val="center"/>
              <w:rPr>
                <w:rFonts w:ascii="Times New Roman"/>
                <w:color w:val="auto"/>
                <w:w w:val="99"/>
                <w:sz w:val="24"/>
                <w:szCs w:val="24"/>
                <w:highlight w:val="none"/>
              </w:rPr>
            </w:pPr>
          </w:p>
          <w:p>
            <w:pPr>
              <w:pStyle w:val="30"/>
              <w:spacing w:before="13" w:line="239" w:lineRule="exact"/>
              <w:ind w:left="5"/>
              <w:jc w:val="center"/>
              <w:rPr>
                <w:rFonts w:ascii="Times New Roman"/>
                <w:color w:val="auto"/>
                <w:w w:val="99"/>
                <w:sz w:val="24"/>
                <w:szCs w:val="24"/>
                <w:highlight w:val="none"/>
              </w:rPr>
            </w:pPr>
            <w:r>
              <w:rPr>
                <w:rFonts w:ascii="Times New Roman"/>
                <w:color w:val="auto"/>
                <w:w w:val="99"/>
                <w:sz w:val="24"/>
                <w:szCs w:val="24"/>
                <w:highlight w:val="none"/>
              </w:rPr>
              <w:t>有效</w:t>
            </w:r>
          </w:p>
        </w:tc>
        <w:tc>
          <w:tcPr>
            <w:tcW w:w="3009" w:type="dxa"/>
            <w:vAlign w:val="center"/>
          </w:tcPr>
          <w:p>
            <w:pPr>
              <w:pStyle w:val="30"/>
              <w:spacing w:before="13" w:line="239" w:lineRule="exact"/>
              <w:ind w:left="5"/>
              <w:jc w:val="center"/>
              <w:rPr>
                <w:rFonts w:ascii="Times New Roman"/>
                <w:color w:val="auto"/>
                <w:w w:val="99"/>
                <w:sz w:val="24"/>
                <w:szCs w:val="24"/>
                <w:highlight w:val="none"/>
              </w:rPr>
            </w:pPr>
          </w:p>
        </w:tc>
        <w:tc>
          <w:tcPr>
            <w:tcW w:w="1350" w:type="dxa"/>
            <w:vAlign w:val="center"/>
          </w:tcPr>
          <w:p>
            <w:pPr>
              <w:pStyle w:val="30"/>
              <w:spacing w:before="13" w:line="239" w:lineRule="exact"/>
              <w:ind w:left="5"/>
              <w:jc w:val="center"/>
              <w:rPr>
                <w:rFonts w:ascii="Times New Roman"/>
                <w:color w:val="auto"/>
                <w:w w:val="99"/>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trPr>
        <w:tc>
          <w:tcPr>
            <w:tcW w:w="622" w:type="dxa"/>
            <w:vAlign w:val="center"/>
          </w:tcPr>
          <w:p>
            <w:pPr>
              <w:pStyle w:val="30"/>
              <w:spacing w:before="13" w:line="239" w:lineRule="exact"/>
              <w:ind w:left="5"/>
              <w:jc w:val="center"/>
              <w:rPr>
                <w:rFonts w:hint="eastAsia" w:ascii="Times New Roman" w:eastAsia="宋体"/>
                <w:w w:val="99"/>
                <w:sz w:val="24"/>
                <w:szCs w:val="24"/>
                <w:lang w:val="en-US" w:eastAsia="zh-CN"/>
              </w:rPr>
            </w:pPr>
            <w:r>
              <w:rPr>
                <w:rFonts w:hint="eastAsia" w:ascii="Times New Roman"/>
                <w:w w:val="99"/>
                <w:sz w:val="24"/>
                <w:szCs w:val="24"/>
                <w:lang w:val="en-US" w:eastAsia="zh-CN"/>
              </w:rPr>
              <w:t>4</w:t>
            </w:r>
          </w:p>
        </w:tc>
        <w:tc>
          <w:tcPr>
            <w:tcW w:w="2479" w:type="dxa"/>
            <w:vAlign w:val="center"/>
          </w:tcPr>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 xml:space="preserve">符合《中华人民共和国 </w:t>
            </w:r>
          </w:p>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 xml:space="preserve">政府采购法》第二十二 </w:t>
            </w:r>
          </w:p>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条规定条件的承诺书</w:t>
            </w:r>
          </w:p>
          <w:p>
            <w:pPr>
              <w:pStyle w:val="30"/>
              <w:spacing w:before="13" w:line="239" w:lineRule="exact"/>
              <w:ind w:left="5"/>
              <w:jc w:val="center"/>
              <w:rPr>
                <w:rFonts w:ascii="Times New Roman"/>
                <w:w w:val="99"/>
                <w:sz w:val="24"/>
                <w:szCs w:val="24"/>
              </w:rPr>
            </w:pPr>
          </w:p>
        </w:tc>
        <w:tc>
          <w:tcPr>
            <w:tcW w:w="2654" w:type="dxa"/>
            <w:vAlign w:val="center"/>
          </w:tcPr>
          <w:p>
            <w:pPr>
              <w:pStyle w:val="30"/>
              <w:spacing w:before="13" w:line="239" w:lineRule="exact"/>
              <w:ind w:left="5"/>
              <w:jc w:val="center"/>
              <w:rPr>
                <w:rFonts w:ascii="Times New Roman"/>
                <w:w w:val="99"/>
                <w:sz w:val="24"/>
                <w:szCs w:val="24"/>
              </w:rPr>
            </w:pPr>
            <w:r>
              <w:rPr>
                <w:rFonts w:hint="eastAsia" w:ascii="Times New Roman"/>
                <w:w w:val="99"/>
                <w:sz w:val="24"/>
                <w:szCs w:val="24"/>
                <w:lang w:val="en-US"/>
              </w:rPr>
              <w:t>符合招标文件要求</w:t>
            </w:r>
          </w:p>
          <w:p>
            <w:pPr>
              <w:pStyle w:val="30"/>
              <w:spacing w:before="13" w:line="239" w:lineRule="exact"/>
              <w:ind w:left="5"/>
              <w:jc w:val="center"/>
              <w:rPr>
                <w:rFonts w:ascii="Times New Roman"/>
                <w:w w:val="99"/>
                <w:sz w:val="24"/>
                <w:szCs w:val="24"/>
              </w:rPr>
            </w:pPr>
          </w:p>
        </w:tc>
        <w:tc>
          <w:tcPr>
            <w:tcW w:w="3009" w:type="dxa"/>
            <w:vAlign w:val="center"/>
          </w:tcPr>
          <w:p>
            <w:pPr>
              <w:pStyle w:val="30"/>
              <w:spacing w:before="13" w:line="239" w:lineRule="exact"/>
              <w:ind w:left="5"/>
              <w:jc w:val="center"/>
              <w:rPr>
                <w:rFonts w:ascii="Times New Roman"/>
                <w:w w:val="99"/>
                <w:sz w:val="24"/>
                <w:szCs w:val="24"/>
              </w:rPr>
            </w:pPr>
          </w:p>
        </w:tc>
        <w:tc>
          <w:tcPr>
            <w:tcW w:w="1350" w:type="dxa"/>
            <w:vAlign w:val="center"/>
          </w:tcPr>
          <w:p>
            <w:pPr>
              <w:pStyle w:val="30"/>
              <w:spacing w:before="13" w:line="239" w:lineRule="exact"/>
              <w:ind w:left="5"/>
              <w:jc w:val="center"/>
              <w:rPr>
                <w:rFonts w:ascii="Times New Roman"/>
                <w:w w:val="9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trPr>
        <w:tc>
          <w:tcPr>
            <w:tcW w:w="622" w:type="dxa"/>
            <w:vAlign w:val="center"/>
          </w:tcPr>
          <w:p>
            <w:pPr>
              <w:pStyle w:val="30"/>
              <w:spacing w:before="13" w:line="239" w:lineRule="exact"/>
              <w:ind w:left="5"/>
              <w:jc w:val="center"/>
              <w:rPr>
                <w:rFonts w:hint="eastAsia" w:ascii="Times New Roman"/>
                <w:w w:val="99"/>
                <w:sz w:val="24"/>
                <w:szCs w:val="24"/>
                <w:lang w:val="en-US" w:eastAsia="zh-CN"/>
              </w:rPr>
            </w:pPr>
            <w:r>
              <w:rPr>
                <w:rFonts w:hint="eastAsia" w:ascii="Times New Roman"/>
                <w:w w:val="99"/>
                <w:sz w:val="24"/>
                <w:szCs w:val="24"/>
                <w:lang w:val="en-US" w:eastAsia="zh-CN"/>
              </w:rPr>
              <w:t>5</w:t>
            </w:r>
          </w:p>
        </w:tc>
        <w:tc>
          <w:tcPr>
            <w:tcW w:w="2479" w:type="dxa"/>
            <w:vAlign w:val="center"/>
          </w:tcPr>
          <w:p>
            <w:pPr>
              <w:pStyle w:val="30"/>
              <w:spacing w:before="13" w:line="239" w:lineRule="exact"/>
              <w:ind w:left="5"/>
              <w:jc w:val="center"/>
              <w:rPr>
                <w:rFonts w:hint="eastAsia" w:ascii="Times New Roman"/>
                <w:w w:val="99"/>
                <w:sz w:val="24"/>
                <w:szCs w:val="24"/>
                <w:lang w:val="en-US"/>
              </w:rPr>
            </w:pPr>
            <w:r>
              <w:rPr>
                <w:rFonts w:hint="eastAsia" w:ascii="Times New Roman"/>
                <w:w w:val="99"/>
                <w:sz w:val="24"/>
                <w:szCs w:val="24"/>
                <w:lang w:val="en-US"/>
              </w:rPr>
              <w:t>“信用中国”网站 查询记录，无不良信用记录承诺函</w:t>
            </w:r>
          </w:p>
        </w:tc>
        <w:tc>
          <w:tcPr>
            <w:tcW w:w="2654" w:type="dxa"/>
            <w:vAlign w:val="center"/>
          </w:tcPr>
          <w:p>
            <w:pPr>
              <w:pStyle w:val="30"/>
              <w:spacing w:before="13" w:line="239" w:lineRule="exact"/>
              <w:ind w:left="5"/>
              <w:jc w:val="center"/>
              <w:rPr>
                <w:rFonts w:hint="eastAsia" w:ascii="Times New Roman"/>
                <w:w w:val="99"/>
                <w:sz w:val="24"/>
                <w:szCs w:val="24"/>
                <w:lang w:val="en-US"/>
              </w:rPr>
            </w:pPr>
            <w:r>
              <w:rPr>
                <w:rFonts w:hint="eastAsia" w:ascii="Times New Roman"/>
                <w:w w:val="99"/>
                <w:sz w:val="24"/>
                <w:szCs w:val="24"/>
                <w:lang w:val="en-US"/>
              </w:rPr>
              <w:t>有效</w:t>
            </w:r>
          </w:p>
        </w:tc>
        <w:tc>
          <w:tcPr>
            <w:tcW w:w="3009" w:type="dxa"/>
            <w:vAlign w:val="center"/>
          </w:tcPr>
          <w:p>
            <w:pPr>
              <w:pStyle w:val="30"/>
              <w:spacing w:before="13" w:line="239" w:lineRule="exact"/>
              <w:ind w:left="5"/>
              <w:jc w:val="center"/>
              <w:rPr>
                <w:rFonts w:hint="eastAsia" w:ascii="Times New Roman"/>
                <w:w w:val="99"/>
                <w:sz w:val="24"/>
                <w:szCs w:val="24"/>
                <w:lang w:val="en-US"/>
              </w:rPr>
            </w:pPr>
            <w:r>
              <w:rPr>
                <w:rFonts w:hint="eastAsia" w:ascii="Times New Roman"/>
                <w:w w:val="99"/>
                <w:sz w:val="24"/>
                <w:szCs w:val="24"/>
                <w:lang w:val="en-US"/>
              </w:rPr>
              <w:t>开标当天评标委员会通过“信用中国”网站查询投标人是否被列入信用记录失信被执行人、重大税收违法案件当事人名单、政府采购严重违法失信行为记录名单等，被列入名单的投标人将被拒绝投标。附无不良信用记录承诺函</w:t>
            </w:r>
          </w:p>
        </w:tc>
        <w:tc>
          <w:tcPr>
            <w:tcW w:w="1350" w:type="dxa"/>
            <w:vAlign w:val="center"/>
          </w:tcPr>
          <w:p>
            <w:pPr>
              <w:pStyle w:val="30"/>
              <w:spacing w:before="13" w:line="239" w:lineRule="exact"/>
              <w:ind w:left="5"/>
              <w:jc w:val="center"/>
              <w:rPr>
                <w:rFonts w:hint="eastAsia" w:ascii="Times New Roman"/>
                <w:w w:val="99"/>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764" w:type="dxa"/>
            <w:gridSpan w:val="4"/>
            <w:vAlign w:val="center"/>
          </w:tcPr>
          <w:p>
            <w:pPr>
              <w:pStyle w:val="30"/>
              <w:spacing w:before="183"/>
              <w:ind w:right="4090"/>
              <w:jc w:val="center"/>
              <w:rPr>
                <w:sz w:val="24"/>
                <w:szCs w:val="24"/>
              </w:rPr>
            </w:pPr>
            <w:r>
              <w:rPr>
                <w:rFonts w:hint="eastAsia"/>
                <w:sz w:val="24"/>
                <w:szCs w:val="24"/>
                <w:lang w:val="en-US"/>
              </w:rPr>
              <w:t xml:space="preserve">                               </w:t>
            </w:r>
            <w:r>
              <w:rPr>
                <w:sz w:val="24"/>
                <w:szCs w:val="24"/>
              </w:rPr>
              <w:t>结论</w:t>
            </w:r>
          </w:p>
        </w:tc>
        <w:tc>
          <w:tcPr>
            <w:tcW w:w="1350" w:type="dxa"/>
            <w:vAlign w:val="center"/>
          </w:tcPr>
          <w:p>
            <w:pPr>
              <w:pStyle w:val="30"/>
              <w:spacing w:before="2" w:line="360" w:lineRule="atLeast"/>
              <w:ind w:right="236"/>
              <w:jc w:val="center"/>
              <w:rPr>
                <w:sz w:val="24"/>
                <w:szCs w:val="24"/>
              </w:rPr>
            </w:pPr>
            <w:r>
              <w:rPr>
                <w:sz w:val="24"/>
                <w:szCs w:val="24"/>
              </w:rPr>
              <w:t>是否通过</w:t>
            </w:r>
          </w:p>
        </w:tc>
      </w:tr>
    </w:tbl>
    <w:p>
      <w:pPr>
        <w:pStyle w:val="11"/>
        <w:spacing w:before="1"/>
        <w:ind w:left="478"/>
      </w:pPr>
      <w:r>
        <w:t>备注：</w:t>
      </w:r>
    </w:p>
    <w:p>
      <w:pPr>
        <w:pStyle w:val="11"/>
        <w:spacing w:before="2" w:line="242" w:lineRule="auto"/>
        <w:ind w:left="480" w:leftChars="218" w:right="985"/>
        <w:jc w:val="both"/>
        <w:rPr>
          <w:spacing w:val="-1"/>
          <w:lang w:val="en-US"/>
        </w:rPr>
      </w:pPr>
      <w:r>
        <w:rPr>
          <w:rFonts w:hint="eastAsia"/>
          <w:spacing w:val="-1"/>
          <w:lang w:val="en-US"/>
        </w:rPr>
        <w:t>1、</w:t>
      </w:r>
      <w:r>
        <w:rPr>
          <w:rFonts w:hint="eastAsia"/>
          <w:spacing w:val="-1"/>
          <w:lang w:val="en-US" w:eastAsia="zh-CN"/>
        </w:rPr>
        <w:t>竞争性磋商文件</w:t>
      </w:r>
      <w:r>
        <w:rPr>
          <w:rFonts w:hint="eastAsia"/>
          <w:spacing w:val="-1"/>
          <w:lang w:val="en-US"/>
        </w:rPr>
        <w:t>中有任何一项不符合上述标准，则不能通过资格后审。</w:t>
      </w:r>
    </w:p>
    <w:p>
      <w:pPr>
        <w:pStyle w:val="11"/>
        <w:spacing w:before="2" w:line="242" w:lineRule="auto"/>
        <w:ind w:left="480" w:leftChars="218" w:right="985"/>
        <w:jc w:val="both"/>
      </w:pPr>
      <w:r>
        <w:rPr>
          <w:rFonts w:hint="eastAsia"/>
          <w:spacing w:val="-1"/>
          <w:lang w:val="en-US"/>
        </w:rPr>
        <w:t>2、</w:t>
      </w:r>
      <w:r>
        <w:rPr>
          <w:spacing w:val="-1"/>
        </w:rPr>
        <w:t xml:space="preserve">与招标人存在利害关系可能影响招标公正性的法人、其他组织或者个人、不得投标； </w:t>
      </w:r>
      <w:r>
        <w:rPr>
          <w:spacing w:val="-8"/>
        </w:rPr>
        <w:t>单位负责人为同一人或者存在控股、管理关系的不同单位，不得参加统一标段投标或者未</w:t>
      </w:r>
      <w:r>
        <w:t>划分标段的统一招标项目投标。违反本规定的，相关投标均无效。</w:t>
      </w:r>
    </w:p>
    <w:p>
      <w:pPr>
        <w:pStyle w:val="29"/>
        <w:tabs>
          <w:tab w:val="left" w:pos="1499"/>
        </w:tabs>
        <w:spacing w:line="364" w:lineRule="auto"/>
        <w:ind w:left="0" w:right="525" w:firstLine="0"/>
        <w:jc w:val="both"/>
        <w:rPr>
          <w:sz w:val="24"/>
        </w:rPr>
      </w:pPr>
    </w:p>
    <w:p>
      <w:pPr>
        <w:widowControl/>
      </w:pPr>
      <w:r>
        <w:rPr>
          <w:rFonts w:hint="eastAsia"/>
          <w:b/>
          <w:color w:val="000000"/>
          <w:sz w:val="24"/>
          <w:szCs w:val="24"/>
          <w:lang w:val="en-US" w:bidi="ar"/>
        </w:rPr>
        <w:t>附表二、</w:t>
      </w:r>
      <w:r>
        <w:rPr>
          <w:rFonts w:hint="eastAsia"/>
          <w:b/>
          <w:color w:val="000000"/>
          <w:sz w:val="28"/>
          <w:szCs w:val="28"/>
          <w:lang w:val="en-US" w:bidi="ar"/>
        </w:rPr>
        <w:t xml:space="preserve">初步评审表 </w:t>
      </w:r>
    </w:p>
    <w:p>
      <w:pPr>
        <w:widowControl/>
        <w:ind w:firstLine="8640" w:firstLineChars="3600"/>
      </w:pPr>
      <w:r>
        <w:rPr>
          <w:rFonts w:hint="eastAsia"/>
          <w:color w:val="000000"/>
          <w:sz w:val="24"/>
          <w:szCs w:val="24"/>
          <w:lang w:val="en-US" w:bidi="ar"/>
        </w:rPr>
        <w:t>年  月  日</w:t>
      </w:r>
    </w:p>
    <w:tbl>
      <w:tblPr>
        <w:tblStyle w:val="20"/>
        <w:tblW w:w="10276" w:type="dxa"/>
        <w:tblInd w:w="0" w:type="dxa"/>
        <w:tblLayout w:type="fixed"/>
        <w:tblCellMar>
          <w:top w:w="0" w:type="dxa"/>
          <w:left w:w="0" w:type="dxa"/>
          <w:bottom w:w="0" w:type="dxa"/>
          <w:right w:w="0" w:type="dxa"/>
        </w:tblCellMar>
      </w:tblPr>
      <w:tblGrid>
        <w:gridCol w:w="817"/>
        <w:gridCol w:w="2889"/>
        <w:gridCol w:w="1250"/>
        <w:gridCol w:w="1341"/>
        <w:gridCol w:w="1273"/>
        <w:gridCol w:w="1353"/>
        <w:gridCol w:w="1353"/>
      </w:tblGrid>
      <w:tr>
        <w:tblPrEx>
          <w:tblCellMar>
            <w:top w:w="0" w:type="dxa"/>
            <w:left w:w="0" w:type="dxa"/>
            <w:bottom w:w="0" w:type="dxa"/>
            <w:right w:w="0" w:type="dxa"/>
          </w:tblCellMar>
        </w:tblPrEx>
        <w:trPr>
          <w:trHeight w:val="64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 xml:space="preserve">序号 </w:t>
            </w:r>
          </w:p>
        </w:tc>
        <w:tc>
          <w:tcPr>
            <w:tcW w:w="28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val="en-US" w:bidi="ar"/>
              </w:rPr>
              <w:t>评审内容</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投标单位</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投标单位</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投标单位</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投标单位</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r>
              <w:rPr>
                <w:rFonts w:hint="eastAsia"/>
                <w:color w:val="000000"/>
                <w:lang w:val="en-US" w:bidi="ar"/>
              </w:rPr>
              <w:t>投标单位</w:t>
            </w:r>
          </w:p>
        </w:tc>
      </w:tr>
      <w:tr>
        <w:tblPrEx>
          <w:tblCellMar>
            <w:top w:w="0" w:type="dxa"/>
            <w:left w:w="0" w:type="dxa"/>
            <w:bottom w:w="0" w:type="dxa"/>
            <w:right w:w="0" w:type="dxa"/>
          </w:tblCellMar>
        </w:tblPrEx>
        <w:trPr>
          <w:trHeight w:val="134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rPr>
            </w:pPr>
          </w:p>
        </w:tc>
        <w:tc>
          <w:tcPr>
            <w:tcW w:w="2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1</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bidi="ar"/>
              </w:rPr>
              <w:t>具备招标公告中规定的资格条件要求</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2</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eastAsia="zh-CN" w:bidi="ar"/>
              </w:rPr>
              <w:t>竞争性磋商文件</w:t>
            </w:r>
            <w:r>
              <w:rPr>
                <w:rFonts w:hint="eastAsia"/>
                <w:color w:val="000000"/>
                <w:sz w:val="20"/>
                <w:szCs w:val="20"/>
                <w:lang w:val="en-US" w:bidi="ar"/>
              </w:rPr>
              <w:t>章、印是否齐全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3</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bidi="ar"/>
              </w:rPr>
              <w:t>关键内容字迹是否清晰可辨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4</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eastAsia="zh-CN" w:bidi="ar"/>
              </w:rPr>
              <w:t>竞争性磋商文件</w:t>
            </w:r>
            <w:r>
              <w:rPr>
                <w:rFonts w:hint="eastAsia"/>
                <w:color w:val="000000"/>
                <w:sz w:val="20"/>
                <w:szCs w:val="20"/>
                <w:lang w:val="en-US" w:bidi="ar"/>
              </w:rPr>
              <w:t>载明的服务期限是否符合招标文件要求</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5</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eastAsia="zh-CN" w:bidi="ar"/>
              </w:rPr>
              <w:t>竞争性磋商文件</w:t>
            </w:r>
            <w:r>
              <w:rPr>
                <w:rFonts w:hint="eastAsia"/>
                <w:color w:val="000000"/>
                <w:sz w:val="20"/>
                <w:szCs w:val="20"/>
                <w:lang w:val="en-US" w:bidi="ar"/>
              </w:rPr>
              <w:t>报价是否超出招标文件规定的最高限价</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6</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eastAsia="zh-CN" w:bidi="ar"/>
              </w:rPr>
              <w:t>竞争性磋商文件</w:t>
            </w:r>
            <w:r>
              <w:rPr>
                <w:rFonts w:hint="eastAsia"/>
                <w:color w:val="000000"/>
                <w:sz w:val="20"/>
                <w:szCs w:val="20"/>
                <w:lang w:val="en-US" w:bidi="ar"/>
              </w:rPr>
              <w:t>的质量目标是否符合招标文件的要求</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7</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eastAsia="zh-CN" w:bidi="ar"/>
              </w:rPr>
              <w:t>竞争性磋商文件</w:t>
            </w:r>
            <w:r>
              <w:rPr>
                <w:rFonts w:hint="eastAsia"/>
                <w:color w:val="000000"/>
                <w:sz w:val="20"/>
                <w:szCs w:val="20"/>
                <w:lang w:val="en-US" w:bidi="ar"/>
              </w:rPr>
              <w:t>的其它方面是否符合招标文件实质性要求</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r>
        <w:tblPrEx>
          <w:tblCellMar>
            <w:top w:w="0" w:type="dxa"/>
            <w:left w:w="0" w:type="dxa"/>
            <w:bottom w:w="0" w:type="dxa"/>
            <w:right w:w="0"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bidi="ar"/>
              </w:rPr>
              <w:t>结论（是否通过）</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rPr>
            </w:pPr>
          </w:p>
        </w:tc>
      </w:tr>
    </w:tbl>
    <w:p>
      <w:pPr>
        <w:pStyle w:val="29"/>
        <w:tabs>
          <w:tab w:val="left" w:pos="1499"/>
        </w:tabs>
        <w:spacing w:line="364" w:lineRule="auto"/>
        <w:ind w:left="0" w:right="525" w:firstLine="0"/>
        <w:jc w:val="both"/>
        <w:rPr>
          <w:sz w:val="24"/>
        </w:rPr>
      </w:pPr>
    </w:p>
    <w:p>
      <w:pPr>
        <w:widowControl/>
      </w:pPr>
      <w:r>
        <w:rPr>
          <w:rFonts w:hint="eastAsia"/>
          <w:color w:val="000000"/>
          <w:sz w:val="20"/>
          <w:szCs w:val="20"/>
          <w:lang w:val="en-US" w:bidi="ar"/>
        </w:rPr>
        <w:t>注：</w:t>
      </w:r>
      <w:r>
        <w:rPr>
          <w:rFonts w:ascii="Times New Roman" w:hAnsi="Times New Roman" w:cs="Times New Roman"/>
          <w:color w:val="000000"/>
          <w:sz w:val="20"/>
          <w:szCs w:val="20"/>
          <w:lang w:val="en-US" w:bidi="ar"/>
        </w:rPr>
        <w:t>1</w:t>
      </w:r>
      <w:r>
        <w:rPr>
          <w:rFonts w:hint="eastAsia"/>
          <w:color w:val="000000"/>
          <w:sz w:val="20"/>
          <w:szCs w:val="20"/>
          <w:lang w:val="en-US" w:bidi="ar"/>
        </w:rPr>
        <w:t xml:space="preserve">、评委针对每一项如果认为合格打“√”不合格打“×”，如不合格须说明理由，在结论项填 </w:t>
      </w:r>
    </w:p>
    <w:p>
      <w:pPr>
        <w:widowControl/>
      </w:pPr>
      <w:r>
        <w:rPr>
          <w:rFonts w:hint="eastAsia"/>
          <w:color w:val="000000"/>
          <w:sz w:val="20"/>
          <w:szCs w:val="20"/>
          <w:lang w:val="en-US" w:bidi="ar"/>
        </w:rPr>
        <w:t xml:space="preserve">“合格”或“不合格”。 </w:t>
      </w:r>
    </w:p>
    <w:p>
      <w:pPr>
        <w:widowControl/>
      </w:pPr>
      <w:r>
        <w:rPr>
          <w:rFonts w:ascii="Times New Roman" w:hAnsi="Times New Roman" w:cs="Times New Roman"/>
          <w:color w:val="000000"/>
          <w:sz w:val="20"/>
          <w:szCs w:val="20"/>
          <w:lang w:val="en-US" w:bidi="ar"/>
        </w:rPr>
        <w:t>2</w:t>
      </w:r>
      <w:r>
        <w:rPr>
          <w:rFonts w:hint="eastAsia"/>
          <w:color w:val="000000"/>
          <w:sz w:val="20"/>
          <w:szCs w:val="20"/>
          <w:lang w:val="en-US" w:bidi="ar"/>
        </w:rPr>
        <w:t xml:space="preserve">、以上7项只要有 </w:t>
      </w:r>
      <w:r>
        <w:rPr>
          <w:rFonts w:ascii="Times New Roman" w:hAnsi="Times New Roman" w:cs="Times New Roman"/>
          <w:color w:val="000000"/>
          <w:sz w:val="20"/>
          <w:szCs w:val="20"/>
          <w:lang w:val="en-US" w:bidi="ar"/>
        </w:rPr>
        <w:t xml:space="preserve">1 </w:t>
      </w:r>
      <w:r>
        <w:rPr>
          <w:rFonts w:hint="eastAsia"/>
          <w:color w:val="000000"/>
          <w:sz w:val="20"/>
          <w:szCs w:val="20"/>
          <w:lang w:val="en-US" w:bidi="ar"/>
        </w:rPr>
        <w:t>项不合格，其初步评审为不合格，不能进行后续评审。</w:t>
      </w:r>
    </w:p>
    <w:p>
      <w:pPr>
        <w:widowControl/>
      </w:pPr>
      <w:r>
        <w:rPr>
          <w:rFonts w:hint="eastAsia"/>
          <w:b/>
          <w:color w:val="000000"/>
          <w:sz w:val="20"/>
          <w:szCs w:val="20"/>
          <w:lang w:val="en-US" w:bidi="ar"/>
        </w:rPr>
        <w:t>评审委员会签字：</w:t>
      </w: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widowControl/>
      </w:pPr>
      <w:r>
        <w:rPr>
          <w:rFonts w:hint="eastAsia"/>
          <w:b/>
          <w:color w:val="000000"/>
          <w:sz w:val="24"/>
          <w:szCs w:val="24"/>
          <w:lang w:val="en-US" w:bidi="ar"/>
        </w:rPr>
        <w:t xml:space="preserve">附表三 </w:t>
      </w:r>
    </w:p>
    <w:p>
      <w:pPr>
        <w:widowControl/>
      </w:pPr>
      <w:r>
        <w:rPr>
          <w:rFonts w:hint="eastAsia"/>
          <w:b/>
          <w:color w:val="000000"/>
          <w:sz w:val="28"/>
          <w:szCs w:val="28"/>
          <w:lang w:val="en-US" w:bidi="ar"/>
        </w:rPr>
        <w:t xml:space="preserve">评分标准 </w:t>
      </w:r>
    </w:p>
    <w:p>
      <w:pPr>
        <w:widowControl/>
      </w:pPr>
      <w:r>
        <w:rPr>
          <w:rFonts w:hint="eastAsia"/>
          <w:b/>
          <w:color w:val="000000"/>
          <w:sz w:val="24"/>
          <w:szCs w:val="24"/>
          <w:lang w:val="en-US" w:bidi="ar"/>
        </w:rPr>
        <w:t xml:space="preserve">投标报价评分标准（10 分） </w:t>
      </w:r>
    </w:p>
    <w:p>
      <w:pPr>
        <w:pStyle w:val="29"/>
        <w:tabs>
          <w:tab w:val="left" w:pos="1499"/>
        </w:tabs>
        <w:spacing w:line="364" w:lineRule="auto"/>
        <w:ind w:left="0" w:right="525" w:firstLine="0"/>
        <w:jc w:val="both"/>
        <w:rPr>
          <w:sz w:val="24"/>
        </w:rPr>
      </w:pPr>
    </w:p>
    <w:tbl>
      <w:tblPr>
        <w:tblStyle w:val="20"/>
        <w:tblW w:w="10278" w:type="dxa"/>
        <w:tblInd w:w="0" w:type="dxa"/>
        <w:tblLayout w:type="fixed"/>
        <w:tblCellMar>
          <w:top w:w="0" w:type="dxa"/>
          <w:left w:w="0" w:type="dxa"/>
          <w:bottom w:w="0" w:type="dxa"/>
          <w:right w:w="0" w:type="dxa"/>
        </w:tblCellMar>
      </w:tblPr>
      <w:tblGrid>
        <w:gridCol w:w="2264"/>
        <w:gridCol w:w="851"/>
        <w:gridCol w:w="7163"/>
      </w:tblGrid>
      <w:tr>
        <w:tblPrEx>
          <w:tblCellMar>
            <w:top w:w="0" w:type="dxa"/>
            <w:left w:w="0" w:type="dxa"/>
            <w:bottom w:w="0" w:type="dxa"/>
            <w:right w:w="0" w:type="dxa"/>
          </w:tblCellMar>
        </w:tblPrEx>
        <w:trPr>
          <w:trHeight w:val="285" w:hRule="atLeast"/>
        </w:trPr>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标准分</w:t>
            </w:r>
          </w:p>
        </w:tc>
        <w:tc>
          <w:tcPr>
            <w:tcW w:w="7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val="en-US" w:bidi="ar"/>
              </w:rPr>
              <w:t>评分标准</w:t>
            </w:r>
          </w:p>
        </w:tc>
      </w:tr>
      <w:tr>
        <w:tblPrEx>
          <w:tblCellMar>
            <w:top w:w="0" w:type="dxa"/>
            <w:left w:w="0" w:type="dxa"/>
            <w:bottom w:w="0" w:type="dxa"/>
            <w:right w:w="0" w:type="dxa"/>
          </w:tblCellMar>
        </w:tblPrEx>
        <w:trPr>
          <w:trHeight w:val="1980" w:hRule="atLeast"/>
        </w:trPr>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val="en-US" w:bidi="ar"/>
              </w:rPr>
              <w:t>投标报价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val="en-US" w:bidi="ar"/>
              </w:rPr>
              <w:t>10</w:t>
            </w:r>
          </w:p>
        </w:tc>
        <w:tc>
          <w:tcPr>
            <w:tcW w:w="7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val="en-US" w:bidi="ar"/>
              </w:rPr>
              <w:t>有效投标报价为通过资格审查且实质上响应招标文件的投标报价，投标价格最低的投标报价为评分基准价，其价格分为满分，其他投标人的投标报价分统一按照下列公式计算：投标报价得分=（评标基准价/投标报价）*价格权值*100</w:t>
            </w:r>
          </w:p>
        </w:tc>
      </w:tr>
    </w:tbl>
    <w:p>
      <w:pPr>
        <w:pStyle w:val="29"/>
        <w:tabs>
          <w:tab w:val="left" w:pos="1499"/>
        </w:tabs>
        <w:spacing w:line="364" w:lineRule="auto"/>
        <w:ind w:left="0" w:right="525" w:firstLine="0"/>
        <w:jc w:val="both"/>
        <w:rPr>
          <w:sz w:val="24"/>
        </w:rPr>
      </w:pPr>
    </w:p>
    <w:p>
      <w:pPr>
        <w:widowControl/>
      </w:pPr>
      <w:r>
        <w:rPr>
          <w:rFonts w:hint="eastAsia"/>
          <w:b/>
          <w:color w:val="000000"/>
          <w:sz w:val="24"/>
          <w:szCs w:val="24"/>
          <w:lang w:val="en-US" w:bidi="ar"/>
        </w:rPr>
        <w:t>综合评标计分标准（90 分）</w:t>
      </w:r>
    </w:p>
    <w:tbl>
      <w:tblPr>
        <w:tblStyle w:val="20"/>
        <w:tblW w:w="10905" w:type="dxa"/>
        <w:tblInd w:w="0" w:type="dxa"/>
        <w:tblLayout w:type="fixed"/>
        <w:tblCellMar>
          <w:top w:w="0" w:type="dxa"/>
          <w:left w:w="0" w:type="dxa"/>
          <w:bottom w:w="0" w:type="dxa"/>
          <w:right w:w="0" w:type="dxa"/>
        </w:tblCellMar>
      </w:tblPr>
      <w:tblGrid>
        <w:gridCol w:w="1080"/>
        <w:gridCol w:w="5400"/>
        <w:gridCol w:w="4425"/>
      </w:tblGrid>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4"/>
                <w:szCs w:val="24"/>
              </w:rPr>
            </w:pPr>
            <w:r>
              <w:rPr>
                <w:rFonts w:hint="eastAsia"/>
                <w:color w:val="000000"/>
                <w:sz w:val="24"/>
                <w:szCs w:val="24"/>
                <w:lang w:val="en-US" w:bidi="ar"/>
              </w:rPr>
              <w:t>序号</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4"/>
                <w:szCs w:val="24"/>
              </w:rPr>
            </w:pPr>
            <w:r>
              <w:rPr>
                <w:rFonts w:hint="eastAsia"/>
                <w:color w:val="000000"/>
                <w:sz w:val="24"/>
                <w:szCs w:val="24"/>
                <w:lang w:val="en-US" w:bidi="ar"/>
              </w:rPr>
              <w:t>评审内容</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 w:val="24"/>
                <w:szCs w:val="24"/>
              </w:rPr>
            </w:pPr>
            <w:r>
              <w:rPr>
                <w:rFonts w:hint="eastAsia"/>
                <w:color w:val="000000"/>
                <w:sz w:val="24"/>
                <w:szCs w:val="24"/>
                <w:lang w:val="en-US" w:bidi="ar"/>
              </w:rPr>
              <w:t>评分标准</w:t>
            </w:r>
          </w:p>
        </w:tc>
      </w:tr>
      <w:tr>
        <w:tblPrEx>
          <w:tblCellMar>
            <w:top w:w="0" w:type="dxa"/>
            <w:left w:w="0" w:type="dxa"/>
            <w:bottom w:w="0" w:type="dxa"/>
            <w:right w:w="0" w:type="dxa"/>
          </w:tblCellMar>
        </w:tblPrEx>
        <w:trPr>
          <w:trHeight w:val="11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4"/>
                <w:szCs w:val="24"/>
              </w:rPr>
            </w:pPr>
            <w:r>
              <w:rPr>
                <w:rFonts w:hint="eastAsia"/>
                <w:color w:val="000000"/>
                <w:sz w:val="24"/>
                <w:szCs w:val="24"/>
                <w:lang w:val="en-US" w:bidi="ar"/>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实施方案（工作技术路线、工作 思路、内容重点 、成果形式） （满分 20 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科学合理：14.1-20 分； 合 理：7.1-14 分； 欠 合 理：0-7 分。</w:t>
            </w:r>
          </w:p>
        </w:tc>
      </w:tr>
      <w:tr>
        <w:tblPrEx>
          <w:tblCellMar>
            <w:top w:w="0" w:type="dxa"/>
            <w:left w:w="0" w:type="dxa"/>
            <w:bottom w:w="0" w:type="dxa"/>
            <w:right w:w="0"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2</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项目进度计划及保证措施 （满分 20 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进度计划切实可行，措施完善：14.1-20 分； 进度计划基本可行，措施有欠缺：7.1-14 分； 进度计划不周到，措施欠完善：0-7 分。</w:t>
            </w:r>
          </w:p>
        </w:tc>
      </w:tr>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3</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服务承诺及服务保证措施 （满分 20 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科学合理：14.1-20 分； 合 理：7.1-14 分； 欠 合 理：0-7 分。</w:t>
            </w:r>
          </w:p>
        </w:tc>
      </w:tr>
      <w:tr>
        <w:tblPrEx>
          <w:tblCellMar>
            <w:top w:w="0" w:type="dxa"/>
            <w:left w:w="0" w:type="dxa"/>
            <w:bottom w:w="0" w:type="dxa"/>
            <w:right w:w="0" w:type="dxa"/>
          </w:tblCellMar>
        </w:tblPrEx>
        <w:trPr>
          <w:trHeight w:val="1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4</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项目管理机构人员配备 （满分 20 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科学合理：14.1-20 分； 合 理：7.1-14 分； 欠 合 理：0-7 分。</w:t>
            </w:r>
          </w:p>
        </w:tc>
      </w:tr>
      <w:tr>
        <w:tblPrEx>
          <w:tblCellMar>
            <w:top w:w="0" w:type="dxa"/>
            <w:left w:w="0" w:type="dxa"/>
            <w:bottom w:w="0" w:type="dxa"/>
            <w:right w:w="0" w:type="dxa"/>
          </w:tblCellMar>
        </w:tblPrEx>
        <w:trPr>
          <w:trHeight w:val="1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val="en-US" w:bidi="ar"/>
              </w:rPr>
              <w:t>5</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企业实力及业绩（满分 10 分）</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color w:val="000000"/>
                <w:lang w:val="en-US" w:bidi="ar"/>
              </w:rPr>
              <w:t>近三年(2018年 10 月 1 日至今，以合同签订的时间为准）类似业绩，每有一项得 2 分，最高得 10 分。（以签订的合同为准，</w:t>
            </w:r>
            <w:r>
              <w:rPr>
                <w:rFonts w:hint="eastAsia"/>
                <w:color w:val="000000"/>
                <w:lang w:val="en-US" w:eastAsia="zh-CN" w:bidi="ar"/>
              </w:rPr>
              <w:t>竞争性磋商文件</w:t>
            </w:r>
            <w:r>
              <w:rPr>
                <w:rFonts w:hint="eastAsia"/>
                <w:color w:val="000000"/>
                <w:lang w:val="en-US" w:bidi="ar"/>
              </w:rPr>
              <w:t>中附原件扫描件。）</w:t>
            </w:r>
          </w:p>
        </w:tc>
      </w:tr>
    </w:tbl>
    <w:p>
      <w:pPr>
        <w:widowControl/>
      </w:pPr>
      <w:r>
        <w:rPr>
          <w:rFonts w:hint="eastAsia"/>
          <w:color w:val="000000"/>
          <w:sz w:val="20"/>
          <w:szCs w:val="20"/>
          <w:lang w:val="en-US" w:bidi="ar"/>
        </w:rPr>
        <w:t xml:space="preserve">注：缺项得 </w:t>
      </w:r>
      <w:r>
        <w:rPr>
          <w:rFonts w:ascii="Times New Roman" w:hAnsi="Times New Roman" w:cs="Times New Roman"/>
          <w:color w:val="000000"/>
          <w:sz w:val="20"/>
          <w:szCs w:val="20"/>
          <w:lang w:val="en-US" w:bidi="ar"/>
        </w:rPr>
        <w:t xml:space="preserve">0 </w:t>
      </w:r>
      <w:r>
        <w:rPr>
          <w:rFonts w:hint="eastAsia"/>
          <w:color w:val="000000"/>
          <w:sz w:val="20"/>
          <w:szCs w:val="20"/>
          <w:lang w:val="en-US" w:bidi="ar"/>
        </w:rPr>
        <w:t>分。</w:t>
      </w: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pStyle w:val="29"/>
        <w:tabs>
          <w:tab w:val="left" w:pos="1499"/>
        </w:tabs>
        <w:spacing w:line="364" w:lineRule="auto"/>
        <w:ind w:left="0" w:right="525" w:firstLine="0"/>
        <w:jc w:val="both"/>
        <w:rPr>
          <w:sz w:val="24"/>
        </w:rPr>
      </w:pPr>
    </w:p>
    <w:p>
      <w:pPr>
        <w:spacing w:before="175"/>
        <w:ind w:right="54"/>
        <w:jc w:val="center"/>
        <w:rPr>
          <w:b/>
          <w:sz w:val="44"/>
        </w:rPr>
      </w:pPr>
      <w:r>
        <w:rPr>
          <w:b/>
          <w:sz w:val="44"/>
        </w:rPr>
        <w:t>第</w:t>
      </w:r>
      <w:r>
        <w:rPr>
          <w:rFonts w:hint="eastAsia"/>
          <w:b/>
          <w:sz w:val="44"/>
        </w:rPr>
        <w:t>六</w:t>
      </w:r>
      <w:r>
        <w:rPr>
          <w:b/>
          <w:sz w:val="44"/>
        </w:rPr>
        <w:t>章：</w:t>
      </w:r>
      <w:r>
        <w:rPr>
          <w:rFonts w:hint="eastAsia"/>
          <w:b/>
          <w:sz w:val="44"/>
          <w:lang w:eastAsia="zh-CN"/>
        </w:rPr>
        <w:t>竞争性磋商文件</w:t>
      </w:r>
      <w:r>
        <w:rPr>
          <w:b/>
          <w:sz w:val="44"/>
        </w:rPr>
        <w:t>格式</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6"/>
        <w:rPr>
          <w:b/>
          <w:sz w:val="14"/>
        </w:rPr>
      </w:pPr>
    </w:p>
    <w:p>
      <w:pPr>
        <w:tabs>
          <w:tab w:val="left" w:pos="4516"/>
        </w:tabs>
        <w:spacing w:before="61"/>
        <w:ind w:right="30"/>
        <w:jc w:val="center"/>
        <w:rPr>
          <w:b/>
          <w:sz w:val="36"/>
        </w:rPr>
      </w:pPr>
      <w:r>
        <w:rPr>
          <w:rFonts w:hint="eastAsia" w:ascii="Times New Roman"/>
          <w:b/>
          <w:sz w:val="36"/>
          <w:u w:val="single"/>
          <w:lang w:val="en-US"/>
        </w:rPr>
        <w:t xml:space="preserve">                 </w:t>
      </w:r>
      <w:r>
        <w:rPr>
          <w:rFonts w:hint="eastAsia" w:ascii="Times New Roman"/>
          <w:b/>
          <w:sz w:val="36"/>
          <w:u w:val="single"/>
        </w:rPr>
        <w:t>（项目名称）</w:t>
      </w:r>
      <w:r>
        <w:rPr>
          <w:rFonts w:hint="eastAsia" w:ascii="Times New Roman"/>
          <w:b/>
          <w:sz w:val="36"/>
          <w:u w:val="single"/>
          <w:lang w:val="en-US"/>
        </w:rPr>
        <w:t xml:space="preserve">             </w:t>
      </w:r>
      <w:r>
        <w:rPr>
          <w:rFonts w:hint="eastAsia"/>
          <w:b/>
          <w:sz w:val="36"/>
          <w:lang w:val="en-US"/>
        </w:rPr>
        <w:t xml:space="preserve"> </w:t>
      </w:r>
    </w:p>
    <w:p>
      <w:pPr>
        <w:pStyle w:val="11"/>
        <w:rPr>
          <w:b/>
          <w:sz w:val="40"/>
        </w:rPr>
      </w:pPr>
    </w:p>
    <w:p>
      <w:pPr>
        <w:pStyle w:val="11"/>
        <w:rPr>
          <w:b/>
          <w:sz w:val="40"/>
        </w:rPr>
      </w:pPr>
    </w:p>
    <w:p>
      <w:pPr>
        <w:pStyle w:val="11"/>
        <w:rPr>
          <w:b/>
          <w:sz w:val="40"/>
        </w:rPr>
      </w:pPr>
    </w:p>
    <w:p>
      <w:pPr>
        <w:pStyle w:val="11"/>
        <w:spacing w:before="3"/>
        <w:rPr>
          <w:b/>
          <w:sz w:val="56"/>
        </w:rPr>
      </w:pPr>
    </w:p>
    <w:p>
      <w:pPr>
        <w:tabs>
          <w:tab w:val="left" w:pos="1679"/>
          <w:tab w:val="left" w:pos="3359"/>
          <w:tab w:val="left" w:pos="5039"/>
        </w:tabs>
        <w:ind w:right="47"/>
        <w:jc w:val="center"/>
        <w:rPr>
          <w:sz w:val="84"/>
        </w:rPr>
      </w:pPr>
      <w:r>
        <w:rPr>
          <w:sz w:val="84"/>
        </w:rPr>
        <w:t>投</w:t>
      </w:r>
      <w:r>
        <w:rPr>
          <w:sz w:val="84"/>
        </w:rPr>
        <w:tab/>
      </w:r>
      <w:r>
        <w:rPr>
          <w:sz w:val="84"/>
        </w:rPr>
        <w:t>标</w:t>
      </w:r>
      <w:r>
        <w:rPr>
          <w:sz w:val="84"/>
        </w:rPr>
        <w:tab/>
      </w:r>
      <w:r>
        <w:rPr>
          <w:sz w:val="84"/>
        </w:rPr>
        <w:t>文</w:t>
      </w:r>
      <w:r>
        <w:rPr>
          <w:sz w:val="84"/>
        </w:rPr>
        <w:tab/>
      </w:r>
      <w:r>
        <w:rPr>
          <w:sz w:val="84"/>
        </w:rPr>
        <w:t>件</w:t>
      </w:r>
    </w:p>
    <w:p>
      <w:pPr>
        <w:pStyle w:val="11"/>
        <w:rPr>
          <w:sz w:val="84"/>
        </w:rPr>
      </w:pPr>
    </w:p>
    <w:p>
      <w:pPr>
        <w:pStyle w:val="11"/>
        <w:rPr>
          <w:sz w:val="84"/>
        </w:rPr>
      </w:pPr>
    </w:p>
    <w:p>
      <w:pPr>
        <w:pStyle w:val="11"/>
        <w:spacing w:before="3"/>
        <w:rPr>
          <w:sz w:val="64"/>
        </w:rPr>
      </w:pPr>
    </w:p>
    <w:p>
      <w:pPr>
        <w:pStyle w:val="8"/>
        <w:tabs>
          <w:tab w:val="left" w:pos="4363"/>
          <w:tab w:val="left" w:pos="5347"/>
          <w:tab w:val="left" w:pos="7174"/>
          <w:tab w:val="left" w:pos="8018"/>
          <w:tab w:val="left" w:pos="8085"/>
        </w:tabs>
        <w:spacing w:line="369" w:lineRule="auto"/>
        <w:ind w:left="1553" w:right="2159"/>
        <w:jc w:val="both"/>
      </w:pPr>
      <w:r>
        <w:rPr>
          <w:spacing w:val="-1"/>
          <w:w w:val="95"/>
        </w:rPr>
        <w:t>项目编号：</w:t>
      </w:r>
      <w:r>
        <w:rPr>
          <w:spacing w:val="-1"/>
          <w:w w:val="95"/>
          <w:u w:val="single"/>
        </w:rPr>
        <w:tab/>
      </w:r>
      <w:r>
        <w:rPr>
          <w:spacing w:val="-1"/>
          <w:w w:val="95"/>
          <w:u w:val="single"/>
        </w:rPr>
        <w:tab/>
      </w:r>
      <w:r>
        <w:rPr>
          <w:spacing w:val="-1"/>
          <w:w w:val="95"/>
          <w:u w:val="single"/>
        </w:rPr>
        <w:tab/>
      </w:r>
      <w:r>
        <w:rPr>
          <w:spacing w:val="-1"/>
          <w:w w:val="95"/>
          <w:u w:val="single"/>
        </w:rPr>
        <w:tab/>
      </w:r>
      <w:r>
        <w:rPr>
          <w:spacing w:val="-1"/>
          <w:w w:val="95"/>
          <w:u w:val="single"/>
        </w:rPr>
        <w:tab/>
      </w:r>
      <w:r>
        <w:rPr>
          <w:spacing w:val="-1"/>
          <w:w w:val="95"/>
          <w:u w:val="single"/>
        </w:rPr>
        <w:t xml:space="preserve">                                    </w:t>
      </w:r>
      <w:r>
        <w:rPr>
          <w:spacing w:val="36"/>
          <w:w w:val="95"/>
          <w:u w:val="single"/>
        </w:rPr>
        <w:t xml:space="preserve"> </w:t>
      </w:r>
      <w:r>
        <w:rPr>
          <w:spacing w:val="-1"/>
          <w:w w:val="95"/>
        </w:rPr>
        <w:t>项目名称：</w:t>
      </w:r>
      <w:r>
        <w:rPr>
          <w:spacing w:val="-1"/>
          <w:w w:val="95"/>
          <w:u w:val="single"/>
        </w:rPr>
        <w:tab/>
      </w:r>
      <w:r>
        <w:rPr>
          <w:spacing w:val="-1"/>
          <w:w w:val="95"/>
          <w:u w:val="single"/>
        </w:rPr>
        <w:tab/>
      </w:r>
      <w:r>
        <w:rPr>
          <w:spacing w:val="-1"/>
          <w:w w:val="95"/>
          <w:u w:val="single"/>
        </w:rPr>
        <w:tab/>
      </w:r>
      <w:r>
        <w:rPr>
          <w:spacing w:val="-1"/>
          <w:w w:val="95"/>
          <w:u w:val="single"/>
        </w:rPr>
        <w:tab/>
      </w:r>
      <w:r>
        <w:rPr>
          <w:spacing w:val="-1"/>
          <w:w w:val="95"/>
          <w:u w:val="single"/>
        </w:rPr>
        <w:tab/>
      </w:r>
      <w:r>
        <w:rPr>
          <w:w w:val="95"/>
          <w:u w:val="single"/>
        </w:rPr>
        <w:t xml:space="preserve"> </w:t>
      </w:r>
      <w:r>
        <w:t>投 标</w:t>
      </w:r>
      <w:r>
        <w:rPr>
          <w:spacing w:val="-5"/>
        </w:rPr>
        <w:t xml:space="preserve"> </w:t>
      </w:r>
      <w:r>
        <w:t>人：</w:t>
      </w:r>
      <w:r>
        <w:rPr>
          <w:u w:val="single"/>
        </w:rPr>
        <w:t xml:space="preserve"> </w:t>
      </w:r>
      <w:r>
        <w:rPr>
          <w:u w:val="single"/>
        </w:rPr>
        <w:tab/>
      </w:r>
      <w:r>
        <w:rPr>
          <w:u w:val="single"/>
        </w:rPr>
        <w:tab/>
      </w:r>
      <w:r>
        <w:rPr>
          <w:u w:val="single"/>
        </w:rPr>
        <w:tab/>
      </w:r>
      <w:r>
        <w:rPr>
          <w:u w:val="single"/>
        </w:rPr>
        <w:t xml:space="preserve">(盖章) </w:t>
      </w:r>
      <w:r>
        <w:t>法定代表人</w:t>
      </w:r>
      <w:r>
        <w:rPr>
          <w:spacing w:val="-3"/>
        </w:rPr>
        <w:t>：</w:t>
      </w:r>
      <w:r>
        <w:rPr>
          <w:spacing w:val="-3"/>
          <w:u w:val="single"/>
        </w:rPr>
        <w:t xml:space="preserve"> </w:t>
      </w:r>
      <w:r>
        <w:rPr>
          <w:spacing w:val="-3"/>
          <w:u w:val="single"/>
        </w:rPr>
        <w:tab/>
      </w:r>
      <w:r>
        <w:rPr>
          <w:spacing w:val="-1"/>
          <w:w w:val="95"/>
          <w:u w:val="single"/>
        </w:rPr>
        <w:t>(签字或</w:t>
      </w:r>
      <w:r>
        <w:rPr>
          <w:w w:val="95"/>
          <w:u w:val="single"/>
        </w:rPr>
        <w:t>盖章)</w:t>
      </w:r>
      <w:r>
        <w:rPr>
          <w:u w:val="single"/>
        </w:rPr>
        <w:tab/>
      </w:r>
      <w:r>
        <w:rPr>
          <w:u w:val="single"/>
        </w:rPr>
        <w:tab/>
      </w:r>
    </w:p>
    <w:p>
      <w:pPr>
        <w:pStyle w:val="11"/>
        <w:rPr>
          <w:b/>
          <w:sz w:val="20"/>
        </w:rPr>
      </w:pPr>
    </w:p>
    <w:p>
      <w:pPr>
        <w:pStyle w:val="11"/>
        <w:spacing w:before="4"/>
        <w:rPr>
          <w:b/>
        </w:rPr>
      </w:pPr>
    </w:p>
    <w:p>
      <w:pPr>
        <w:tabs>
          <w:tab w:val="left" w:pos="1545"/>
          <w:tab w:val="left" w:pos="2810"/>
          <w:tab w:val="left" w:pos="4077"/>
        </w:tabs>
        <w:spacing w:before="71"/>
        <w:ind w:right="34"/>
        <w:jc w:val="center"/>
        <w:rPr>
          <w:b/>
          <w:sz w:val="28"/>
        </w:rPr>
      </w:pPr>
      <w:r>
        <w:rPr>
          <w:rFonts w:ascii="Times New Roman" w:eastAsia="Times New Roman"/>
          <w:b/>
          <w:sz w:val="28"/>
          <w:u w:val="single"/>
        </w:rPr>
        <w:t xml:space="preserve"> </w:t>
      </w:r>
      <w:r>
        <w:rPr>
          <w:rFonts w:ascii="Times New Roman" w:eastAsia="Times New Roman"/>
          <w:b/>
          <w:sz w:val="28"/>
          <w:u w:val="single"/>
        </w:rPr>
        <w:tab/>
      </w:r>
      <w:r>
        <w:rPr>
          <w:b/>
          <w:sz w:val="28"/>
        </w:rPr>
        <w:t>年</w:t>
      </w:r>
      <w:r>
        <w:rPr>
          <w:b/>
          <w:sz w:val="28"/>
          <w:u w:val="single"/>
        </w:rPr>
        <w:t xml:space="preserve"> </w:t>
      </w:r>
      <w:r>
        <w:rPr>
          <w:b/>
          <w:sz w:val="28"/>
          <w:u w:val="single"/>
        </w:rPr>
        <w:tab/>
      </w:r>
      <w:r>
        <w:rPr>
          <w:b/>
          <w:sz w:val="28"/>
        </w:rPr>
        <w:t>月</w:t>
      </w:r>
      <w:r>
        <w:rPr>
          <w:b/>
          <w:sz w:val="28"/>
          <w:u w:val="single"/>
        </w:rPr>
        <w:t xml:space="preserve"> </w:t>
      </w:r>
      <w:r>
        <w:rPr>
          <w:b/>
          <w:sz w:val="28"/>
          <w:u w:val="single"/>
        </w:rPr>
        <w:tab/>
      </w:r>
      <w:r>
        <w:rPr>
          <w:b/>
          <w:sz w:val="28"/>
        </w:rPr>
        <w:t>日</w:t>
      </w:r>
    </w:p>
    <w:p>
      <w:pPr>
        <w:pStyle w:val="11"/>
        <w:spacing w:before="12"/>
        <w:rPr>
          <w:b/>
          <w:sz w:val="21"/>
        </w:rPr>
      </w:pPr>
    </w:p>
    <w:p>
      <w:pPr>
        <w:pStyle w:val="11"/>
        <w:ind w:right="47"/>
        <w:jc w:val="center"/>
        <w:rPr>
          <w:rFonts w:ascii="黑体" w:eastAsia="黑体"/>
        </w:rPr>
      </w:pPr>
      <w:r>
        <w:rPr>
          <w:rFonts w:hint="eastAsia" w:ascii="黑体" w:eastAsia="黑体"/>
        </w:rPr>
        <w:t>电子</w:t>
      </w:r>
      <w:r>
        <w:rPr>
          <w:rFonts w:hint="eastAsia" w:ascii="黑体" w:eastAsia="黑体"/>
          <w:lang w:eastAsia="zh-CN"/>
        </w:rPr>
        <w:t>竞争性磋商文件</w:t>
      </w:r>
      <w:r>
        <w:rPr>
          <w:rFonts w:hint="eastAsia" w:ascii="黑体" w:eastAsia="黑体"/>
        </w:rPr>
        <w:t>无正副本之分</w:t>
      </w:r>
    </w:p>
    <w:p>
      <w:pPr>
        <w:jc w:val="center"/>
        <w:rPr>
          <w:rFonts w:ascii="黑体" w:eastAsia="黑体"/>
        </w:rPr>
        <w:sectPr>
          <w:footerReference r:id="rId5" w:type="default"/>
          <w:pgSz w:w="11910" w:h="16840"/>
          <w:pgMar w:top="1580" w:right="720" w:bottom="1180" w:left="940" w:header="0" w:footer="993" w:gutter="0"/>
          <w:cols w:space="720" w:num="1"/>
        </w:sectPr>
      </w:pPr>
    </w:p>
    <w:p>
      <w:pPr>
        <w:pStyle w:val="11"/>
        <w:rPr>
          <w:rFonts w:ascii="黑体"/>
          <w:sz w:val="20"/>
        </w:rPr>
      </w:pPr>
    </w:p>
    <w:p>
      <w:pPr>
        <w:pStyle w:val="11"/>
        <w:spacing w:before="1"/>
        <w:rPr>
          <w:rFonts w:ascii="黑体"/>
          <w:sz w:val="21"/>
        </w:rPr>
      </w:pPr>
    </w:p>
    <w:p>
      <w:pPr>
        <w:tabs>
          <w:tab w:val="left" w:pos="1041"/>
        </w:tabs>
        <w:spacing w:before="55"/>
        <w:ind w:right="64"/>
        <w:jc w:val="center"/>
        <w:rPr>
          <w:b/>
          <w:sz w:val="32"/>
        </w:rPr>
      </w:pPr>
      <w:r>
        <w:rPr>
          <w:b/>
          <w:sz w:val="32"/>
        </w:rPr>
        <w:t>目</w:t>
      </w:r>
      <w:r>
        <w:rPr>
          <w:b/>
          <w:sz w:val="32"/>
        </w:rPr>
        <w:tab/>
      </w:r>
      <w:r>
        <w:rPr>
          <w:b/>
          <w:sz w:val="32"/>
        </w:rPr>
        <w:t>录</w:t>
      </w:r>
    </w:p>
    <w:p>
      <w:pPr>
        <w:pStyle w:val="11"/>
        <w:rPr>
          <w:b/>
          <w:sz w:val="32"/>
        </w:rPr>
      </w:pPr>
    </w:p>
    <w:p>
      <w:pPr>
        <w:pStyle w:val="11"/>
        <w:spacing w:before="10"/>
        <w:rPr>
          <w:b/>
          <w:sz w:val="32"/>
        </w:rPr>
      </w:pPr>
    </w:p>
    <w:p>
      <w:pPr>
        <w:spacing w:before="2"/>
        <w:ind w:left="1107"/>
        <w:rPr>
          <w:rFonts w:hint="eastAsia"/>
          <w:sz w:val="28"/>
          <w:lang w:eastAsia="zh-CN"/>
        </w:rPr>
      </w:pPr>
      <w:r>
        <w:rPr>
          <w:rFonts w:hint="eastAsia"/>
          <w:sz w:val="28"/>
          <w:lang w:eastAsia="zh-CN"/>
        </w:rPr>
        <w:t xml:space="preserve">一、法定代表人身份证明书 </w:t>
      </w:r>
    </w:p>
    <w:p>
      <w:pPr>
        <w:spacing w:before="2"/>
        <w:ind w:left="1107"/>
        <w:rPr>
          <w:sz w:val="28"/>
        </w:rPr>
      </w:pPr>
      <w:r>
        <w:rPr>
          <w:rFonts w:hint="eastAsia"/>
          <w:sz w:val="28"/>
          <w:lang w:eastAsia="zh-CN"/>
        </w:rPr>
        <w:t>二</w:t>
      </w:r>
      <w:r>
        <w:rPr>
          <w:sz w:val="28"/>
        </w:rPr>
        <w:t>、</w:t>
      </w:r>
      <w:r>
        <w:rPr>
          <w:rFonts w:hint="eastAsia"/>
          <w:sz w:val="28"/>
          <w:lang w:eastAsia="zh-CN"/>
        </w:rPr>
        <w:t>竞争性磋商文件</w:t>
      </w:r>
      <w:r>
        <w:rPr>
          <w:sz w:val="28"/>
        </w:rPr>
        <w:t>签署授权委托书</w:t>
      </w:r>
    </w:p>
    <w:p>
      <w:pPr>
        <w:spacing w:before="2"/>
        <w:ind w:left="1107"/>
        <w:rPr>
          <w:rFonts w:hint="eastAsia"/>
          <w:sz w:val="28"/>
          <w:lang w:eastAsia="zh-CN"/>
        </w:rPr>
      </w:pPr>
      <w:r>
        <w:rPr>
          <w:rFonts w:hint="eastAsia"/>
          <w:sz w:val="28"/>
          <w:lang w:eastAsia="zh-CN"/>
        </w:rPr>
        <w:t>三、投标函</w:t>
      </w:r>
    </w:p>
    <w:p>
      <w:pPr>
        <w:spacing w:before="2"/>
        <w:ind w:left="1107"/>
        <w:rPr>
          <w:sz w:val="28"/>
        </w:rPr>
      </w:pPr>
      <w:r>
        <w:rPr>
          <w:sz w:val="28"/>
        </w:rPr>
        <w:t>四、投标函附录</w:t>
      </w:r>
      <w:r>
        <w:rPr>
          <w:rFonts w:hint="eastAsia"/>
          <w:sz w:val="28"/>
        </w:rPr>
        <w:t>（报价表）</w:t>
      </w:r>
    </w:p>
    <w:p>
      <w:pPr>
        <w:spacing w:before="2"/>
        <w:ind w:left="1107"/>
        <w:rPr>
          <w:sz w:val="28"/>
        </w:rPr>
      </w:pPr>
      <w:r>
        <w:rPr>
          <w:rFonts w:hint="eastAsia"/>
          <w:sz w:val="28"/>
          <w:lang w:eastAsia="zh-CN"/>
        </w:rPr>
        <w:t>五、</w:t>
      </w:r>
      <w:r>
        <w:rPr>
          <w:rFonts w:hint="eastAsia"/>
          <w:sz w:val="28"/>
        </w:rPr>
        <w:t>项目管理机构</w:t>
      </w:r>
    </w:p>
    <w:p>
      <w:pPr>
        <w:spacing w:before="2"/>
        <w:ind w:left="1107"/>
        <w:rPr>
          <w:sz w:val="28"/>
        </w:rPr>
      </w:pPr>
      <w:r>
        <w:rPr>
          <w:rFonts w:hint="eastAsia"/>
          <w:sz w:val="28"/>
          <w:lang w:val="en-US" w:eastAsia="zh-CN"/>
        </w:rPr>
        <w:t>六、</w:t>
      </w:r>
      <w:r>
        <w:rPr>
          <w:rFonts w:hint="eastAsia"/>
          <w:sz w:val="28"/>
          <w:lang w:val="en-US"/>
        </w:rPr>
        <w:t>项目实施方案</w:t>
      </w:r>
    </w:p>
    <w:p>
      <w:pPr>
        <w:spacing w:before="2"/>
        <w:ind w:left="1107"/>
        <w:rPr>
          <w:sz w:val="28"/>
        </w:rPr>
      </w:pPr>
      <w:r>
        <w:rPr>
          <w:rFonts w:hint="eastAsia"/>
          <w:sz w:val="28"/>
          <w:lang w:eastAsia="zh-CN"/>
        </w:rPr>
        <w:t>七、</w:t>
      </w:r>
      <w:r>
        <w:rPr>
          <w:sz w:val="28"/>
        </w:rPr>
        <w:t>资格审查要求提供的资料</w:t>
      </w:r>
    </w:p>
    <w:p>
      <w:pPr>
        <w:spacing w:before="2"/>
        <w:ind w:left="1107"/>
        <w:rPr>
          <w:sz w:val="28"/>
        </w:rPr>
      </w:pPr>
      <w:r>
        <w:rPr>
          <w:rFonts w:hint="eastAsia"/>
          <w:sz w:val="28"/>
        </w:rPr>
        <w:t>八</w:t>
      </w:r>
      <w:r>
        <w:rPr>
          <w:sz w:val="28"/>
        </w:rPr>
        <w:t>、招标文件要求投标人提交的其他投标资料</w:t>
      </w:r>
    </w:p>
    <w:p>
      <w:pPr>
        <w:spacing w:before="2"/>
        <w:ind w:left="1107"/>
        <w:rPr>
          <w:sz w:val="28"/>
        </w:rPr>
        <w:sectPr>
          <w:pgSz w:w="11910" w:h="16840"/>
          <w:pgMar w:top="1580" w:right="720" w:bottom="1180" w:left="940" w:header="0" w:footer="993" w:gutter="0"/>
          <w:cols w:space="720" w:num="1"/>
        </w:sectPr>
      </w:pPr>
    </w:p>
    <w:p>
      <w:pPr>
        <w:spacing w:before="62"/>
        <w:ind w:right="63"/>
        <w:jc w:val="center"/>
        <w:rPr>
          <w:b/>
          <w:sz w:val="28"/>
        </w:rPr>
      </w:pPr>
      <w:r>
        <w:rPr>
          <w:b/>
          <w:sz w:val="28"/>
        </w:rPr>
        <w:t>一、法定代表人身份证明书</w:t>
      </w:r>
    </w:p>
    <w:p>
      <w:pPr>
        <w:pStyle w:val="11"/>
        <w:rPr>
          <w:b/>
          <w:sz w:val="28"/>
        </w:rPr>
      </w:pPr>
    </w:p>
    <w:p>
      <w:pPr>
        <w:pStyle w:val="11"/>
        <w:spacing w:before="10"/>
        <w:rPr>
          <w:b/>
          <w:sz w:val="40"/>
        </w:rPr>
      </w:pPr>
    </w:p>
    <w:p>
      <w:pPr>
        <w:pStyle w:val="11"/>
        <w:tabs>
          <w:tab w:val="left" w:pos="7591"/>
        </w:tabs>
        <w:ind w:left="946"/>
        <w:rPr>
          <w:rFonts w:ascii="Times New Roman" w:eastAsia="Times New Roman"/>
        </w:rPr>
      </w:pPr>
      <w:r>
        <w:rPr>
          <w:spacing w:val="16"/>
        </w:rPr>
        <w:t>单</w:t>
      </w:r>
      <w:r>
        <w:rPr>
          <w:spacing w:val="14"/>
        </w:rPr>
        <w:t>位</w:t>
      </w:r>
      <w:r>
        <w:rPr>
          <w:spacing w:val="16"/>
        </w:rPr>
        <w:t>名称：</w:t>
      </w:r>
      <w:r>
        <w:rPr>
          <w:rFonts w:ascii="Times New Roman" w:eastAsia="Times New Roman"/>
          <w:u w:val="single"/>
        </w:rPr>
        <w:t xml:space="preserve"> </w:t>
      </w:r>
      <w:r>
        <w:rPr>
          <w:rFonts w:ascii="Times New Roman" w:eastAsia="Times New Roman"/>
          <w:u w:val="single"/>
        </w:rPr>
        <w:tab/>
      </w:r>
    </w:p>
    <w:p>
      <w:pPr>
        <w:pStyle w:val="11"/>
        <w:rPr>
          <w:rFonts w:ascii="Times New Roman"/>
          <w:sz w:val="19"/>
        </w:rPr>
      </w:pPr>
    </w:p>
    <w:p>
      <w:pPr>
        <w:pStyle w:val="11"/>
        <w:tabs>
          <w:tab w:val="left" w:pos="1817"/>
          <w:tab w:val="left" w:pos="7691"/>
        </w:tabs>
        <w:spacing w:before="74"/>
        <w:ind w:left="1018"/>
        <w:rPr>
          <w:rFonts w:ascii="Times New Roman" w:eastAsia="Times New Roman"/>
        </w:rPr>
      </w:pPr>
      <w:r>
        <w:t>地</w:t>
      </w:r>
      <w:r>
        <w:tab/>
      </w:r>
      <w:r>
        <w:rPr>
          <w:spacing w:val="16"/>
        </w:rPr>
        <w:t>址</w:t>
      </w:r>
      <w:r>
        <w:rPr>
          <w:spacing w:val="1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19"/>
        </w:rPr>
      </w:pPr>
    </w:p>
    <w:p>
      <w:pPr>
        <w:pStyle w:val="11"/>
        <w:tabs>
          <w:tab w:val="left" w:pos="2981"/>
          <w:tab w:val="left" w:pos="3780"/>
          <w:tab w:val="left" w:pos="4582"/>
        </w:tabs>
        <w:spacing w:before="74"/>
        <w:ind w:left="1020"/>
      </w:pPr>
      <w:r>
        <w:rPr>
          <w:spacing w:val="16"/>
        </w:rPr>
        <w:t>成</w:t>
      </w:r>
      <w:r>
        <w:rPr>
          <w:spacing w:val="14"/>
        </w:rPr>
        <w:t>立</w:t>
      </w:r>
      <w:r>
        <w:rPr>
          <w:spacing w:val="16"/>
        </w:rPr>
        <w:t>时间</w:t>
      </w:r>
      <w:r>
        <w:t>：</w:t>
      </w:r>
      <w:r>
        <w:rPr>
          <w:u w:val="single"/>
        </w:rPr>
        <w:t xml:space="preserve"> </w:t>
      </w:r>
      <w:r>
        <w:rPr>
          <w:u w:val="single"/>
        </w:rPr>
        <w:tab/>
      </w:r>
      <w:r>
        <w:rPr>
          <w:spacing w:val="16"/>
        </w:rPr>
        <w:t>年</w:t>
      </w:r>
      <w:r>
        <w:rPr>
          <w:spacing w:val="16"/>
          <w:u w:val="single"/>
        </w:rPr>
        <w:t xml:space="preserve"> </w:t>
      </w:r>
      <w:r>
        <w:rPr>
          <w:spacing w:val="16"/>
          <w:u w:val="single"/>
        </w:rPr>
        <w:tab/>
      </w:r>
      <w:r>
        <w:rPr>
          <w:spacing w:val="16"/>
        </w:rPr>
        <w:t>月</w:t>
      </w:r>
      <w:r>
        <w:rPr>
          <w:spacing w:val="16"/>
          <w:u w:val="single"/>
        </w:rPr>
        <w:t xml:space="preserve"> </w:t>
      </w:r>
      <w:r>
        <w:rPr>
          <w:spacing w:val="16"/>
          <w:u w:val="single"/>
        </w:rPr>
        <w:tab/>
      </w:r>
      <w:r>
        <w:t>日</w:t>
      </w:r>
    </w:p>
    <w:p>
      <w:pPr>
        <w:pStyle w:val="11"/>
        <w:spacing w:before="11"/>
        <w:rPr>
          <w:sz w:val="22"/>
        </w:rPr>
      </w:pPr>
    </w:p>
    <w:p>
      <w:pPr>
        <w:pStyle w:val="11"/>
        <w:tabs>
          <w:tab w:val="left" w:pos="7665"/>
        </w:tabs>
        <w:ind w:left="1020"/>
        <w:rPr>
          <w:rFonts w:ascii="Times New Roman" w:eastAsia="Times New Roman"/>
        </w:rPr>
      </w:pPr>
      <w:r>
        <w:rPr>
          <w:spacing w:val="16"/>
        </w:rPr>
        <w:t>经</w:t>
      </w:r>
      <w:r>
        <w:rPr>
          <w:spacing w:val="14"/>
        </w:rPr>
        <w:t>营</w:t>
      </w:r>
      <w:r>
        <w:rPr>
          <w:spacing w:val="16"/>
        </w:rPr>
        <w:t>期限：</w:t>
      </w:r>
      <w:r>
        <w:rPr>
          <w:rFonts w:ascii="Times New Roman" w:eastAsia="Times New Roman"/>
          <w:u w:val="single"/>
        </w:rPr>
        <w:t xml:space="preserve"> </w:t>
      </w:r>
      <w:r>
        <w:rPr>
          <w:rFonts w:ascii="Times New Roman" w:eastAsia="Times New Roman"/>
          <w:u w:val="single"/>
        </w:rPr>
        <w:tab/>
      </w:r>
    </w:p>
    <w:p>
      <w:pPr>
        <w:pStyle w:val="11"/>
        <w:rPr>
          <w:rFonts w:ascii="Times New Roman"/>
          <w:sz w:val="19"/>
        </w:rPr>
      </w:pPr>
    </w:p>
    <w:p>
      <w:pPr>
        <w:pStyle w:val="11"/>
        <w:tabs>
          <w:tab w:val="left" w:pos="1414"/>
          <w:tab w:val="left" w:pos="1822"/>
          <w:tab w:val="left" w:pos="3557"/>
          <w:tab w:val="left" w:pos="4427"/>
          <w:tab w:val="left" w:pos="5200"/>
          <w:tab w:val="left" w:pos="5412"/>
          <w:tab w:val="left" w:pos="7133"/>
          <w:tab w:val="left" w:pos="8988"/>
        </w:tabs>
        <w:spacing w:before="74" w:line="468" w:lineRule="auto"/>
        <w:ind w:left="478" w:right="1015" w:firstLine="542"/>
      </w:pPr>
      <w:r>
        <w:t>姓</w:t>
      </w:r>
      <w:r>
        <w:tab/>
      </w:r>
      <w:r>
        <w:tab/>
      </w:r>
      <w:r>
        <w:rPr>
          <w:spacing w:val="16"/>
        </w:rPr>
        <w:t>名</w:t>
      </w:r>
      <w:r>
        <w:rPr>
          <w:spacing w:val="13"/>
        </w:rPr>
        <w:t>：</w:t>
      </w:r>
      <w:r>
        <w:rPr>
          <w:spacing w:val="13"/>
          <w:u w:val="single"/>
        </w:rPr>
        <w:t xml:space="preserve"> </w:t>
      </w:r>
      <w:r>
        <w:rPr>
          <w:spacing w:val="13"/>
          <w:u w:val="single"/>
        </w:rPr>
        <w:tab/>
      </w:r>
      <w:r>
        <w:rPr>
          <w:spacing w:val="16"/>
        </w:rPr>
        <w:t>性</w:t>
      </w:r>
      <w:r>
        <w:rPr>
          <w:spacing w:val="14"/>
        </w:rPr>
        <w:t>别</w:t>
      </w:r>
      <w:r>
        <w:rPr>
          <w:spacing w:val="16"/>
        </w:rPr>
        <w:t>：</w:t>
      </w:r>
      <w:r>
        <w:rPr>
          <w:spacing w:val="16"/>
          <w:u w:val="single"/>
        </w:rPr>
        <w:t xml:space="preserve"> </w:t>
      </w:r>
      <w:r>
        <w:rPr>
          <w:spacing w:val="16"/>
          <w:u w:val="single"/>
        </w:rPr>
        <w:tab/>
      </w:r>
      <w:r>
        <w:rPr>
          <w:spacing w:val="16"/>
          <w:u w:val="single"/>
        </w:rPr>
        <w:tab/>
      </w:r>
      <w:r>
        <w:rPr>
          <w:spacing w:val="16"/>
        </w:rPr>
        <w:t>年</w:t>
      </w:r>
      <w:r>
        <w:rPr>
          <w:spacing w:val="14"/>
        </w:rPr>
        <w:t>龄</w:t>
      </w:r>
      <w:r>
        <w:rPr>
          <w:spacing w:val="16"/>
        </w:rPr>
        <w:t>：</w:t>
      </w:r>
      <w:r>
        <w:rPr>
          <w:spacing w:val="16"/>
          <w:u w:val="single"/>
        </w:rPr>
        <w:t xml:space="preserve"> </w:t>
      </w:r>
      <w:r>
        <w:rPr>
          <w:spacing w:val="16"/>
          <w:u w:val="single"/>
        </w:rPr>
        <w:tab/>
      </w:r>
      <w:r>
        <w:rPr>
          <w:spacing w:val="16"/>
        </w:rPr>
        <w:t>职</w:t>
      </w:r>
      <w:r>
        <w:rPr>
          <w:spacing w:val="14"/>
        </w:rPr>
        <w:t>务</w:t>
      </w:r>
      <w:r>
        <w:rPr>
          <w:spacing w:val="16"/>
        </w:rPr>
        <w:t>：</w:t>
      </w:r>
      <w:r>
        <w:rPr>
          <w:spacing w:val="16"/>
          <w:u w:val="single"/>
        </w:rPr>
        <w:t xml:space="preserve"> </w:t>
      </w:r>
      <w:r>
        <w:rPr>
          <w:spacing w:val="16"/>
          <w:u w:val="single"/>
        </w:rPr>
        <w:tab/>
      </w:r>
      <w:r>
        <w:rPr>
          <w:spacing w:val="-17"/>
        </w:rPr>
        <w:t xml:space="preserve">， </w:t>
      </w:r>
      <w:r>
        <w:rPr>
          <w:spacing w:val="13"/>
        </w:rPr>
        <w:t>系</w:t>
      </w:r>
      <w:r>
        <w:rPr>
          <w:spacing w:val="13"/>
          <w:u w:val="single"/>
        </w:rPr>
        <w:t xml:space="preserve"> </w:t>
      </w:r>
      <w:r>
        <w:rPr>
          <w:spacing w:val="13"/>
          <w:u w:val="single"/>
        </w:rPr>
        <w:tab/>
      </w:r>
      <w:r>
        <w:rPr>
          <w:spacing w:val="16"/>
          <w:u w:val="single"/>
        </w:rPr>
        <w:t>（</w:t>
      </w:r>
      <w:r>
        <w:rPr>
          <w:spacing w:val="14"/>
          <w:u w:val="single"/>
        </w:rPr>
        <w:t>投</w:t>
      </w:r>
      <w:r>
        <w:rPr>
          <w:spacing w:val="16"/>
          <w:u w:val="single"/>
        </w:rPr>
        <w:t>标人</w:t>
      </w:r>
      <w:r>
        <w:rPr>
          <w:spacing w:val="14"/>
          <w:u w:val="single"/>
        </w:rPr>
        <w:t>名</w:t>
      </w:r>
      <w:r>
        <w:rPr>
          <w:spacing w:val="16"/>
          <w:u w:val="single"/>
        </w:rPr>
        <w:t>称</w:t>
      </w:r>
      <w:r>
        <w:rPr>
          <w:u w:val="single"/>
        </w:rPr>
        <w:t>）</w:t>
      </w:r>
      <w:r>
        <w:rPr>
          <w:u w:val="single"/>
        </w:rPr>
        <w:tab/>
      </w:r>
      <w:r>
        <w:rPr>
          <w:u w:val="single"/>
        </w:rPr>
        <w:tab/>
      </w:r>
      <w:r>
        <w:rPr>
          <w:spacing w:val="16"/>
        </w:rPr>
        <w:t>的</w:t>
      </w:r>
      <w:r>
        <w:rPr>
          <w:spacing w:val="14"/>
        </w:rPr>
        <w:t>法</w:t>
      </w:r>
      <w:r>
        <w:rPr>
          <w:spacing w:val="16"/>
        </w:rPr>
        <w:t>定代</w:t>
      </w:r>
      <w:r>
        <w:rPr>
          <w:spacing w:val="14"/>
        </w:rPr>
        <w:t>表</w:t>
      </w:r>
      <w:r>
        <w:rPr>
          <w:spacing w:val="16"/>
        </w:rPr>
        <w:t>人</w:t>
      </w:r>
      <w:r>
        <w:t>。</w:t>
      </w:r>
    </w:p>
    <w:p>
      <w:pPr>
        <w:pStyle w:val="11"/>
        <w:rPr>
          <w:sz w:val="26"/>
        </w:rPr>
      </w:pPr>
    </w:p>
    <w:p>
      <w:pPr>
        <w:pStyle w:val="11"/>
        <w:spacing w:before="11"/>
        <w:rPr>
          <w:sz w:val="20"/>
        </w:rPr>
      </w:pPr>
    </w:p>
    <w:p>
      <w:pPr>
        <w:pStyle w:val="11"/>
        <w:ind w:left="989"/>
      </w:pPr>
      <w:r>
        <w:t>特此证明。</w:t>
      </w:r>
    </w:p>
    <w:p>
      <w:pPr>
        <w:pStyle w:val="11"/>
      </w:pPr>
    </w:p>
    <w:p>
      <w:pPr>
        <w:pStyle w:val="11"/>
      </w:pPr>
    </w:p>
    <w:p>
      <w:pPr>
        <w:pStyle w:val="11"/>
      </w:pPr>
    </w:p>
    <w:p>
      <w:pPr>
        <w:pStyle w:val="11"/>
      </w:pPr>
    </w:p>
    <w:p>
      <w:pPr>
        <w:pStyle w:val="11"/>
      </w:pPr>
    </w:p>
    <w:p>
      <w:pPr>
        <w:pStyle w:val="11"/>
      </w:pPr>
    </w:p>
    <w:p>
      <w:pPr>
        <w:pStyle w:val="11"/>
        <w:spacing w:before="1"/>
        <w:rPr>
          <w:sz w:val="23"/>
        </w:rPr>
      </w:pPr>
    </w:p>
    <w:p>
      <w:pPr>
        <w:pStyle w:val="11"/>
        <w:tabs>
          <w:tab w:val="left" w:pos="8141"/>
        </w:tabs>
        <w:ind w:left="3036"/>
      </w:pPr>
      <w:r>
        <w:rPr>
          <w:spacing w:val="16"/>
        </w:rPr>
        <w:t>投</w:t>
      </w:r>
      <w:r>
        <w:rPr>
          <w:spacing w:val="14"/>
        </w:rPr>
        <w:t>标</w:t>
      </w:r>
      <w:r>
        <w:rPr>
          <w:spacing w:val="16"/>
        </w:rPr>
        <w:t>人：</w:t>
      </w:r>
      <w:r>
        <w:rPr>
          <w:spacing w:val="16"/>
          <w:u w:val="single"/>
        </w:rPr>
        <w:t xml:space="preserve"> </w:t>
      </w:r>
      <w:r>
        <w:rPr>
          <w:spacing w:val="16"/>
          <w:u w:val="single"/>
        </w:rPr>
        <w:tab/>
      </w:r>
      <w:r>
        <w:rPr>
          <w:spacing w:val="16"/>
          <w:u w:val="single"/>
        </w:rPr>
        <w:t>（</w:t>
      </w:r>
      <w:r>
        <w:rPr>
          <w:spacing w:val="14"/>
          <w:u w:val="single"/>
        </w:rPr>
        <w:t>盖</w:t>
      </w:r>
      <w:r>
        <w:rPr>
          <w:spacing w:val="16"/>
          <w:u w:val="single"/>
        </w:rPr>
        <w:t>章</w:t>
      </w:r>
      <w:r>
        <w:rPr>
          <w:u w:val="single"/>
        </w:rPr>
        <w:t>）</w:t>
      </w:r>
    </w:p>
    <w:p>
      <w:pPr>
        <w:pStyle w:val="11"/>
        <w:spacing w:before="9"/>
        <w:rPr>
          <w:sz w:val="21"/>
        </w:rPr>
      </w:pPr>
    </w:p>
    <w:p>
      <w:pPr>
        <w:pStyle w:val="11"/>
        <w:tabs>
          <w:tab w:val="left" w:pos="5374"/>
          <w:tab w:val="left" w:pos="6581"/>
          <w:tab w:val="left" w:pos="7654"/>
        </w:tabs>
        <w:spacing w:before="74"/>
        <w:ind w:left="4421"/>
      </w:pPr>
      <w:r>
        <w:rPr>
          <w:rFonts w:ascii="Times New Roman" w:eastAsia="Times New Roman"/>
          <w:u w:val="single"/>
        </w:rPr>
        <w:t xml:space="preserve"> </w:t>
      </w:r>
      <w:r>
        <w:rPr>
          <w:rFonts w:ascii="Times New Roman" w:eastAsia="Times New Roman"/>
          <w:u w:val="single"/>
        </w:rPr>
        <w:tab/>
      </w:r>
      <w:r>
        <w:rPr>
          <w:spacing w:val="13"/>
        </w:rPr>
        <w:t>年</w:t>
      </w:r>
      <w:r>
        <w:rPr>
          <w:spacing w:val="13"/>
          <w:u w:val="single"/>
        </w:rPr>
        <w:t xml:space="preserve"> </w:t>
      </w:r>
      <w:r>
        <w:rPr>
          <w:spacing w:val="13"/>
          <w:u w:val="single"/>
        </w:rPr>
        <w:tab/>
      </w:r>
      <w:r>
        <w:rPr>
          <w:spacing w:val="16"/>
        </w:rPr>
        <w:t>月</w:t>
      </w:r>
      <w:r>
        <w:rPr>
          <w:spacing w:val="16"/>
          <w:u w:val="single"/>
        </w:rPr>
        <w:t xml:space="preserve"> </w:t>
      </w:r>
      <w:r>
        <w:rPr>
          <w:spacing w:val="16"/>
          <w:u w:val="single"/>
        </w:rPr>
        <w:tab/>
      </w:r>
      <w:r>
        <w:t>日</w:t>
      </w: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spacing w:before="2"/>
        <w:rPr>
          <w:sz w:val="31"/>
        </w:rPr>
      </w:pPr>
    </w:p>
    <w:p>
      <w:pPr>
        <w:ind w:right="63"/>
        <w:jc w:val="center"/>
        <w:rPr>
          <w:b/>
          <w:sz w:val="28"/>
        </w:rPr>
      </w:pPr>
      <w:r>
        <w:rPr>
          <w:b/>
          <w:sz w:val="28"/>
        </w:rPr>
        <w:t>（后附法人身份证扫描件）</w:t>
      </w:r>
    </w:p>
    <w:p>
      <w:pPr>
        <w:jc w:val="center"/>
        <w:rPr>
          <w:sz w:val="28"/>
        </w:rPr>
        <w:sectPr>
          <w:pgSz w:w="11910" w:h="16840"/>
          <w:pgMar w:top="1580" w:right="720" w:bottom="1180" w:left="940" w:header="0" w:footer="993" w:gutter="0"/>
          <w:cols w:space="720" w:num="1"/>
        </w:sectPr>
      </w:pPr>
    </w:p>
    <w:p>
      <w:pPr>
        <w:spacing w:before="41"/>
        <w:ind w:right="61"/>
        <w:jc w:val="center"/>
        <w:rPr>
          <w:b/>
          <w:sz w:val="28"/>
        </w:rPr>
      </w:pPr>
      <w:r>
        <w:rPr>
          <w:b/>
          <w:sz w:val="28"/>
        </w:rPr>
        <w:t>二、</w:t>
      </w:r>
      <w:r>
        <w:rPr>
          <w:rFonts w:hint="eastAsia"/>
          <w:b/>
          <w:sz w:val="28"/>
          <w:lang w:eastAsia="zh-CN"/>
        </w:rPr>
        <w:t>竞争性磋商文件</w:t>
      </w:r>
      <w:r>
        <w:rPr>
          <w:b/>
          <w:sz w:val="28"/>
        </w:rPr>
        <w:t>签署授权委托书</w:t>
      </w:r>
    </w:p>
    <w:p>
      <w:pPr>
        <w:pStyle w:val="11"/>
        <w:rPr>
          <w:b/>
          <w:sz w:val="28"/>
        </w:rPr>
      </w:pPr>
    </w:p>
    <w:p>
      <w:pPr>
        <w:pStyle w:val="11"/>
        <w:rPr>
          <w:b/>
          <w:sz w:val="28"/>
        </w:rPr>
      </w:pPr>
    </w:p>
    <w:p>
      <w:pPr>
        <w:pStyle w:val="11"/>
        <w:tabs>
          <w:tab w:val="left" w:pos="6101"/>
          <w:tab w:val="left" w:pos="9207"/>
        </w:tabs>
        <w:spacing w:before="195" w:line="499" w:lineRule="auto"/>
        <w:ind w:left="478" w:right="540" w:firstLine="604"/>
        <w:jc w:val="both"/>
      </w:pPr>
      <w:r>
        <w:rPr>
          <w:spacing w:val="16"/>
        </w:rPr>
        <w:t>本</w:t>
      </w:r>
      <w:r>
        <w:rPr>
          <w:spacing w:val="19"/>
        </w:rPr>
        <w:t>授</w:t>
      </w:r>
      <w:r>
        <w:rPr>
          <w:spacing w:val="16"/>
        </w:rPr>
        <w:t>权委</w:t>
      </w:r>
      <w:r>
        <w:rPr>
          <w:spacing w:val="19"/>
        </w:rPr>
        <w:t>托</w:t>
      </w:r>
      <w:r>
        <w:rPr>
          <w:spacing w:val="16"/>
        </w:rPr>
        <w:t>书声明</w:t>
      </w:r>
      <w:r>
        <w:rPr>
          <w:spacing w:val="19"/>
        </w:rPr>
        <w:t>：</w:t>
      </w:r>
      <w:r>
        <w:rPr>
          <w:spacing w:val="16"/>
        </w:rPr>
        <w:t>我</w:t>
      </w:r>
      <w:r>
        <w:rPr>
          <w:spacing w:val="16"/>
          <w:u w:val="single"/>
        </w:rPr>
        <w:t xml:space="preserve">  </w:t>
      </w:r>
      <w:r>
        <w:rPr>
          <w:spacing w:val="22"/>
          <w:u w:val="single"/>
        </w:rPr>
        <w:t xml:space="preserve"> </w:t>
      </w:r>
      <w:r>
        <w:rPr>
          <w:spacing w:val="9"/>
          <w:u w:val="single"/>
        </w:rPr>
        <w:t>(</w:t>
      </w:r>
      <w:r>
        <w:rPr>
          <w:spacing w:val="16"/>
          <w:u w:val="single"/>
        </w:rPr>
        <w:t>姓</w:t>
      </w:r>
      <w:r>
        <w:rPr>
          <w:spacing w:val="19"/>
          <w:u w:val="single"/>
        </w:rPr>
        <w:t>名</w:t>
      </w:r>
      <w:r>
        <w:rPr>
          <w:u w:val="single"/>
        </w:rPr>
        <w:t xml:space="preserve">)   </w:t>
      </w:r>
      <w:r>
        <w:rPr>
          <w:spacing w:val="76"/>
          <w:u w:val="single"/>
        </w:rPr>
        <w:t xml:space="preserve"> </w:t>
      </w:r>
      <w:r>
        <w:rPr>
          <w:spacing w:val="18"/>
        </w:rPr>
        <w:t>系</w:t>
      </w:r>
      <w:r>
        <w:rPr>
          <w:spacing w:val="18"/>
          <w:u w:val="single"/>
        </w:rPr>
        <w:t xml:space="preserve">  </w:t>
      </w:r>
      <w:r>
        <w:rPr>
          <w:spacing w:val="154"/>
          <w:u w:val="single"/>
        </w:rPr>
        <w:t xml:space="preserve"> </w:t>
      </w:r>
      <w:r>
        <w:rPr>
          <w:spacing w:val="9"/>
          <w:u w:val="single"/>
        </w:rPr>
        <w:t>(</w:t>
      </w:r>
      <w:r>
        <w:rPr>
          <w:spacing w:val="16"/>
          <w:u w:val="single"/>
        </w:rPr>
        <w:t>投</w:t>
      </w:r>
      <w:r>
        <w:rPr>
          <w:spacing w:val="19"/>
          <w:u w:val="single"/>
        </w:rPr>
        <w:t>标</w:t>
      </w:r>
      <w:r>
        <w:rPr>
          <w:spacing w:val="16"/>
          <w:u w:val="single"/>
        </w:rPr>
        <w:t>人名称</w:t>
      </w:r>
      <w:r>
        <w:rPr>
          <w:u w:val="single"/>
        </w:rPr>
        <w:t xml:space="preserve">)   </w:t>
      </w:r>
      <w:r>
        <w:rPr>
          <w:spacing w:val="78"/>
          <w:u w:val="single"/>
        </w:rPr>
        <w:t xml:space="preserve"> </w:t>
      </w:r>
      <w:r>
        <w:rPr>
          <w:spacing w:val="16"/>
        </w:rPr>
        <w:t>的</w:t>
      </w:r>
      <w:r>
        <w:rPr>
          <w:spacing w:val="19"/>
        </w:rPr>
        <w:t>法</w:t>
      </w:r>
      <w:r>
        <w:rPr>
          <w:spacing w:val="16"/>
        </w:rPr>
        <w:t>定代</w:t>
      </w:r>
      <w:r>
        <w:t>表</w:t>
      </w:r>
      <w:r>
        <w:rPr>
          <w:spacing w:val="14"/>
        </w:rPr>
        <w:t>人</w:t>
      </w:r>
      <w:r>
        <w:rPr>
          <w:spacing w:val="-15"/>
        </w:rPr>
        <w:t>，</w:t>
      </w:r>
      <w:r>
        <w:rPr>
          <w:spacing w:val="16"/>
        </w:rPr>
        <w:t>现</w:t>
      </w:r>
      <w:r>
        <w:rPr>
          <w:spacing w:val="14"/>
        </w:rPr>
        <w:t>授</w:t>
      </w:r>
      <w:r>
        <w:rPr>
          <w:spacing w:val="16"/>
        </w:rPr>
        <w:t>权委托</w:t>
      </w:r>
      <w:r>
        <w:rPr>
          <w:spacing w:val="16"/>
          <w:u w:val="single"/>
        </w:rPr>
        <w:t xml:space="preserve">  </w:t>
      </w:r>
      <w:r>
        <w:rPr>
          <w:spacing w:val="150"/>
          <w:u w:val="single"/>
        </w:rPr>
        <w:t xml:space="preserve"> </w:t>
      </w:r>
      <w:r>
        <w:rPr>
          <w:spacing w:val="9"/>
          <w:u w:val="single"/>
        </w:rPr>
        <w:t>(</w:t>
      </w:r>
      <w:r>
        <w:rPr>
          <w:spacing w:val="16"/>
          <w:u w:val="single"/>
        </w:rPr>
        <w:t>单</w:t>
      </w:r>
      <w:r>
        <w:rPr>
          <w:spacing w:val="14"/>
          <w:u w:val="single"/>
        </w:rPr>
        <w:t>位</w:t>
      </w:r>
      <w:r>
        <w:rPr>
          <w:spacing w:val="16"/>
          <w:u w:val="single"/>
        </w:rPr>
        <w:t>名</w:t>
      </w:r>
      <w:r>
        <w:rPr>
          <w:spacing w:val="14"/>
          <w:u w:val="single"/>
        </w:rPr>
        <w:t>称</w:t>
      </w:r>
      <w:r>
        <w:rPr>
          <w:u w:val="single"/>
        </w:rPr>
        <w:t xml:space="preserve">)   </w:t>
      </w:r>
      <w:r>
        <w:rPr>
          <w:spacing w:val="71"/>
        </w:rPr>
        <w:t xml:space="preserve"> </w:t>
      </w:r>
      <w:r>
        <w:t>的</w:t>
      </w:r>
      <w:r>
        <w:rPr>
          <w:u w:val="single"/>
        </w:rPr>
        <w:t xml:space="preserve">  </w:t>
      </w:r>
      <w:r>
        <w:rPr>
          <w:spacing w:val="64"/>
          <w:u w:val="single"/>
        </w:rPr>
        <w:t xml:space="preserve"> </w:t>
      </w:r>
      <w:r>
        <w:rPr>
          <w:spacing w:val="7"/>
          <w:u w:val="single"/>
        </w:rPr>
        <w:t>(</w:t>
      </w:r>
      <w:r>
        <w:rPr>
          <w:spacing w:val="16"/>
          <w:u w:val="single"/>
        </w:rPr>
        <w:t>姓名</w:t>
      </w:r>
      <w:r>
        <w:rPr>
          <w:u w:val="single"/>
        </w:rPr>
        <w:t xml:space="preserve">)   </w:t>
      </w:r>
      <w:r>
        <w:rPr>
          <w:spacing w:val="72"/>
          <w:u w:val="single"/>
        </w:rPr>
        <w:t xml:space="preserve"> </w:t>
      </w:r>
      <w:r>
        <w:rPr>
          <w:spacing w:val="16"/>
        </w:rPr>
        <w:t>为</w:t>
      </w:r>
      <w:r>
        <w:rPr>
          <w:spacing w:val="14"/>
        </w:rPr>
        <w:t>我</w:t>
      </w:r>
      <w:r>
        <w:rPr>
          <w:spacing w:val="16"/>
        </w:rPr>
        <w:t>公司</w:t>
      </w:r>
      <w:r>
        <w:rPr>
          <w:spacing w:val="14"/>
        </w:rPr>
        <w:t>签</w:t>
      </w:r>
      <w:r>
        <w:rPr>
          <w:spacing w:val="16"/>
        </w:rPr>
        <w:t>署</w:t>
      </w:r>
      <w:r>
        <w:rPr>
          <w:spacing w:val="16"/>
          <w:u w:val="single"/>
        </w:rPr>
        <w:t xml:space="preserve"> </w:t>
      </w:r>
      <w:r>
        <w:rPr>
          <w:spacing w:val="16"/>
          <w:u w:val="single"/>
        </w:rPr>
        <w:tab/>
      </w:r>
      <w:r>
        <w:rPr>
          <w:spacing w:val="16"/>
        </w:rPr>
        <w:t>工</w:t>
      </w:r>
      <w:r>
        <w:rPr>
          <w:spacing w:val="-17"/>
        </w:rPr>
        <w:t>程</w:t>
      </w:r>
      <w:r>
        <w:rPr>
          <w:spacing w:val="16"/>
        </w:rPr>
        <w:t>的</w:t>
      </w:r>
      <w:r>
        <w:rPr>
          <w:rFonts w:hint="eastAsia"/>
          <w:spacing w:val="16"/>
          <w:lang w:eastAsia="zh-CN"/>
        </w:rPr>
        <w:t>竞争性磋商文件</w:t>
      </w:r>
      <w:r>
        <w:rPr>
          <w:spacing w:val="16"/>
        </w:rPr>
        <w:t>的法定代表人授权</w:t>
      </w:r>
      <w:r>
        <w:rPr>
          <w:spacing w:val="14"/>
        </w:rPr>
        <w:t>委</w:t>
      </w:r>
      <w:r>
        <w:rPr>
          <w:spacing w:val="16"/>
        </w:rPr>
        <w:t>托代理人，我承认代理人全权代表我所签署的本</w:t>
      </w:r>
      <w:r>
        <w:t>工</w:t>
      </w:r>
      <w:r>
        <w:rPr>
          <w:spacing w:val="16"/>
        </w:rPr>
        <w:t>程</w:t>
      </w:r>
      <w:r>
        <w:rPr>
          <w:spacing w:val="14"/>
        </w:rPr>
        <w:t>的</w:t>
      </w:r>
      <w:r>
        <w:rPr>
          <w:rFonts w:hint="eastAsia"/>
          <w:spacing w:val="16"/>
          <w:lang w:eastAsia="zh-CN"/>
        </w:rPr>
        <w:t>竞争性磋商文件</w:t>
      </w:r>
      <w:r>
        <w:rPr>
          <w:spacing w:val="16"/>
        </w:rPr>
        <w:t>的</w:t>
      </w:r>
      <w:r>
        <w:rPr>
          <w:spacing w:val="14"/>
        </w:rPr>
        <w:t>内</w:t>
      </w:r>
      <w:r>
        <w:rPr>
          <w:spacing w:val="16"/>
        </w:rPr>
        <w:t>容，</w:t>
      </w:r>
      <w:r>
        <w:rPr>
          <w:spacing w:val="14"/>
        </w:rPr>
        <w:t>委</w:t>
      </w:r>
      <w:r>
        <w:rPr>
          <w:spacing w:val="16"/>
        </w:rPr>
        <w:t>托期</w:t>
      </w:r>
      <w:r>
        <w:rPr>
          <w:spacing w:val="13"/>
        </w:rPr>
        <w:t>限</w:t>
      </w:r>
      <w:r>
        <w:rPr>
          <w:spacing w:val="13"/>
          <w:u w:val="single"/>
        </w:rPr>
        <w:t xml:space="preserve"> </w:t>
      </w:r>
      <w:r>
        <w:rPr>
          <w:spacing w:val="13"/>
          <w:u w:val="single"/>
        </w:rPr>
        <w:tab/>
      </w:r>
      <w:r>
        <w:t>。</w:t>
      </w:r>
    </w:p>
    <w:p>
      <w:pPr>
        <w:pStyle w:val="11"/>
        <w:spacing w:before="2" w:line="499" w:lineRule="auto"/>
        <w:ind w:left="1018" w:right="6938"/>
      </w:pPr>
      <w:r>
        <w:t>代理人无转委托权。特此委托。</w:t>
      </w:r>
    </w:p>
    <w:p>
      <w:pPr>
        <w:pStyle w:val="11"/>
      </w:pPr>
    </w:p>
    <w:p>
      <w:pPr>
        <w:pStyle w:val="11"/>
        <w:rPr>
          <w:sz w:val="26"/>
        </w:rPr>
      </w:pPr>
    </w:p>
    <w:p>
      <w:pPr>
        <w:pStyle w:val="11"/>
        <w:tabs>
          <w:tab w:val="left" w:pos="2590"/>
          <w:tab w:val="left" w:pos="3765"/>
          <w:tab w:val="left" w:pos="5758"/>
          <w:tab w:val="left" w:pos="7535"/>
        </w:tabs>
        <w:spacing w:before="1"/>
        <w:ind w:left="1020"/>
        <w:rPr>
          <w:rFonts w:ascii="Times New Roman" w:eastAsia="Times New Roman"/>
        </w:rPr>
      </w:pPr>
      <w:r>
        <w:rPr>
          <w:spacing w:val="16"/>
        </w:rPr>
        <w:t>代</w:t>
      </w:r>
      <w:r>
        <w:rPr>
          <w:spacing w:val="14"/>
        </w:rPr>
        <w:t>理</w:t>
      </w:r>
      <w:r>
        <w:rPr>
          <w:spacing w:val="16"/>
        </w:rPr>
        <w:t>人：</w:t>
      </w:r>
      <w:r>
        <w:rPr>
          <w:spacing w:val="16"/>
          <w:u w:val="single"/>
        </w:rPr>
        <w:t xml:space="preserve"> </w:t>
      </w:r>
      <w:r>
        <w:rPr>
          <w:spacing w:val="16"/>
          <w:u w:val="single"/>
        </w:rPr>
        <w:tab/>
      </w:r>
      <w:r>
        <w:rPr>
          <w:spacing w:val="7"/>
          <w:u w:val="single"/>
        </w:rPr>
        <w:t>(</w:t>
      </w:r>
      <w:r>
        <w:rPr>
          <w:spacing w:val="16"/>
          <w:u w:val="single"/>
        </w:rPr>
        <w:t>签</w:t>
      </w:r>
      <w:r>
        <w:rPr>
          <w:spacing w:val="14"/>
          <w:u w:val="single"/>
        </w:rPr>
        <w:t>字</w:t>
      </w:r>
      <w:r>
        <w:rPr>
          <w:u w:val="single"/>
        </w:rPr>
        <w:t>)</w:t>
      </w:r>
      <w:r>
        <w:rPr>
          <w:u w:val="single"/>
        </w:rPr>
        <w:tab/>
      </w:r>
      <w:r>
        <w:rPr>
          <w:spacing w:val="16"/>
        </w:rPr>
        <w:t>性</w:t>
      </w:r>
      <w:r>
        <w:rPr>
          <w:spacing w:val="14"/>
        </w:rPr>
        <w:t>别</w:t>
      </w:r>
      <w:r>
        <w:rPr>
          <w:spacing w:val="16"/>
        </w:rPr>
        <w:t>：</w:t>
      </w:r>
      <w:r>
        <w:rPr>
          <w:spacing w:val="16"/>
          <w:u w:val="single"/>
        </w:rPr>
        <w:t xml:space="preserve"> </w:t>
      </w:r>
      <w:r>
        <w:rPr>
          <w:spacing w:val="16"/>
          <w:u w:val="single"/>
        </w:rPr>
        <w:tab/>
      </w:r>
      <w:r>
        <w:rPr>
          <w:spacing w:val="16"/>
        </w:rPr>
        <w:t>年</w:t>
      </w:r>
      <w:r>
        <w:rPr>
          <w:spacing w:val="14"/>
        </w:rPr>
        <w:t>龄</w:t>
      </w:r>
      <w:r>
        <w:rPr>
          <w:spacing w:val="16"/>
        </w:rPr>
        <w:t>：</w:t>
      </w:r>
      <w:r>
        <w:rPr>
          <w:rFonts w:ascii="Times New Roman" w:eastAsia="Times New Roman"/>
          <w:u w:val="single"/>
        </w:rPr>
        <w:t xml:space="preserve"> </w:t>
      </w:r>
      <w:r>
        <w:rPr>
          <w:rFonts w:ascii="Times New Roman" w:eastAsia="Times New Roman"/>
          <w:u w:val="single"/>
        </w:rPr>
        <w:tab/>
      </w:r>
    </w:p>
    <w:p>
      <w:pPr>
        <w:pStyle w:val="11"/>
        <w:spacing w:before="3"/>
        <w:rPr>
          <w:rFonts w:ascii="Times New Roman"/>
          <w:sz w:val="22"/>
        </w:rPr>
      </w:pPr>
    </w:p>
    <w:p>
      <w:pPr>
        <w:pStyle w:val="11"/>
        <w:tabs>
          <w:tab w:val="left" w:pos="5745"/>
          <w:tab w:val="left" w:pos="7600"/>
        </w:tabs>
        <w:spacing w:before="75"/>
        <w:ind w:left="1020"/>
        <w:rPr>
          <w:rFonts w:ascii="Times New Roman" w:eastAsia="Times New Roman"/>
        </w:rPr>
      </w:pPr>
      <w:r>
        <w:rPr>
          <w:spacing w:val="16"/>
        </w:rPr>
        <w:t>身</w:t>
      </w:r>
      <w:r>
        <w:rPr>
          <w:spacing w:val="14"/>
        </w:rPr>
        <w:t>份</w:t>
      </w:r>
      <w:r>
        <w:rPr>
          <w:spacing w:val="16"/>
        </w:rPr>
        <w:t>证号</w:t>
      </w:r>
      <w:r>
        <w:rPr>
          <w:spacing w:val="14"/>
        </w:rPr>
        <w:t>码</w:t>
      </w:r>
      <w:r>
        <w:rPr>
          <w:spacing w:val="16"/>
        </w:rPr>
        <w:t>：</w:t>
      </w:r>
      <w:r>
        <w:rPr>
          <w:spacing w:val="16"/>
          <w:u w:val="single"/>
        </w:rPr>
        <w:t xml:space="preserve"> </w:t>
      </w:r>
      <w:r>
        <w:rPr>
          <w:spacing w:val="16"/>
          <w:u w:val="single"/>
        </w:rPr>
        <w:tab/>
      </w:r>
      <w:r>
        <w:rPr>
          <w:spacing w:val="16"/>
        </w:rPr>
        <w:t>职</w:t>
      </w:r>
      <w:r>
        <w:rPr>
          <w:spacing w:val="14"/>
        </w:rPr>
        <w:t>务</w:t>
      </w:r>
      <w:r>
        <w:rPr>
          <w:spacing w:val="16"/>
        </w:rPr>
        <w:t>：</w:t>
      </w:r>
      <w:r>
        <w:rPr>
          <w:rFonts w:ascii="Times New Roman" w:eastAsia="Times New Roman"/>
          <w:u w:val="single"/>
        </w:rPr>
        <w:t xml:space="preserve"> </w:t>
      </w:r>
      <w:r>
        <w:rPr>
          <w:rFonts w:ascii="Times New Roman" w:eastAsia="Times New Roman"/>
          <w:u w:val="single"/>
        </w:rPr>
        <w:tab/>
      </w:r>
    </w:p>
    <w:p>
      <w:pPr>
        <w:pStyle w:val="11"/>
        <w:spacing w:before="6"/>
        <w:rPr>
          <w:rFonts w:ascii="Times New Roman"/>
          <w:sz w:val="22"/>
        </w:rPr>
      </w:pPr>
    </w:p>
    <w:p>
      <w:pPr>
        <w:pStyle w:val="11"/>
        <w:tabs>
          <w:tab w:val="left" w:pos="6804"/>
        </w:tabs>
        <w:spacing w:before="74"/>
        <w:ind w:left="1020"/>
      </w:pPr>
      <w:r>
        <w:rPr>
          <w:spacing w:val="16"/>
        </w:rPr>
        <w:t>投</w:t>
      </w:r>
      <w:r>
        <w:rPr>
          <w:spacing w:val="14"/>
        </w:rPr>
        <w:t>标</w:t>
      </w:r>
      <w:r>
        <w:rPr>
          <w:spacing w:val="16"/>
        </w:rPr>
        <w:t>人：</w:t>
      </w:r>
      <w:r>
        <w:rPr>
          <w:spacing w:val="16"/>
          <w:u w:val="single"/>
        </w:rPr>
        <w:t xml:space="preserve"> </w:t>
      </w:r>
      <w:r>
        <w:rPr>
          <w:spacing w:val="16"/>
          <w:u w:val="single"/>
        </w:rPr>
        <w:tab/>
      </w:r>
      <w:r>
        <w:rPr>
          <w:spacing w:val="9"/>
          <w:u w:val="single"/>
        </w:rPr>
        <w:t>(</w:t>
      </w:r>
      <w:r>
        <w:rPr>
          <w:spacing w:val="16"/>
          <w:u w:val="single"/>
        </w:rPr>
        <w:t>盖</w:t>
      </w:r>
      <w:r>
        <w:rPr>
          <w:spacing w:val="14"/>
          <w:u w:val="single"/>
        </w:rPr>
        <w:t>章</w:t>
      </w:r>
      <w:r>
        <w:rPr>
          <w:u w:val="single"/>
        </w:rPr>
        <w:t>)</w:t>
      </w:r>
    </w:p>
    <w:p>
      <w:pPr>
        <w:pStyle w:val="11"/>
        <w:spacing w:before="3"/>
        <w:rPr>
          <w:sz w:val="20"/>
        </w:rPr>
      </w:pPr>
    </w:p>
    <w:p>
      <w:pPr>
        <w:pStyle w:val="11"/>
        <w:tabs>
          <w:tab w:val="left" w:pos="6094"/>
        </w:tabs>
        <w:spacing w:before="74"/>
        <w:ind w:left="1020"/>
      </w:pPr>
      <w:r>
        <w:rPr>
          <w:spacing w:val="16"/>
        </w:rPr>
        <w:t>法</w:t>
      </w:r>
      <w:r>
        <w:rPr>
          <w:spacing w:val="14"/>
        </w:rPr>
        <w:t>定</w:t>
      </w:r>
      <w:r>
        <w:rPr>
          <w:spacing w:val="16"/>
        </w:rPr>
        <w:t>代表</w:t>
      </w:r>
      <w:r>
        <w:rPr>
          <w:spacing w:val="14"/>
        </w:rPr>
        <w:t>人</w:t>
      </w:r>
      <w:r>
        <w:rPr>
          <w:spacing w:val="16"/>
        </w:rPr>
        <w:t>：</w:t>
      </w:r>
      <w:r>
        <w:rPr>
          <w:spacing w:val="16"/>
          <w:u w:val="single"/>
        </w:rPr>
        <w:t xml:space="preserve"> </w:t>
      </w:r>
      <w:r>
        <w:rPr>
          <w:spacing w:val="16"/>
          <w:u w:val="single"/>
        </w:rPr>
        <w:tab/>
      </w:r>
      <w:r>
        <w:rPr>
          <w:spacing w:val="7"/>
          <w:u w:val="single"/>
        </w:rPr>
        <w:t>(</w:t>
      </w:r>
      <w:r>
        <w:rPr>
          <w:spacing w:val="16"/>
          <w:u w:val="single"/>
        </w:rPr>
        <w:t>签</w:t>
      </w:r>
      <w:r>
        <w:rPr>
          <w:spacing w:val="14"/>
          <w:u w:val="single"/>
        </w:rPr>
        <w:t>字</w:t>
      </w:r>
      <w:r>
        <w:rPr>
          <w:spacing w:val="16"/>
          <w:u w:val="single"/>
        </w:rPr>
        <w:t>或盖</w:t>
      </w:r>
      <w:r>
        <w:rPr>
          <w:spacing w:val="14"/>
          <w:u w:val="single"/>
        </w:rPr>
        <w:t>章</w:t>
      </w:r>
      <w:r>
        <w:rPr>
          <w:u w:val="single"/>
        </w:rPr>
        <w:t>)</w:t>
      </w:r>
    </w:p>
    <w:p>
      <w:pPr>
        <w:pStyle w:val="11"/>
        <w:spacing w:before="1"/>
        <w:rPr>
          <w:sz w:val="20"/>
        </w:rPr>
      </w:pPr>
    </w:p>
    <w:p>
      <w:pPr>
        <w:pStyle w:val="11"/>
        <w:tabs>
          <w:tab w:val="left" w:pos="3898"/>
          <w:tab w:val="left" w:pos="5105"/>
          <w:tab w:val="left" w:pos="6312"/>
        </w:tabs>
        <w:spacing w:before="74"/>
        <w:ind w:left="1018"/>
      </w:pPr>
      <w:r>
        <w:rPr>
          <w:spacing w:val="16"/>
        </w:rPr>
        <w:t>授</w:t>
      </w:r>
      <w:r>
        <w:rPr>
          <w:spacing w:val="14"/>
        </w:rPr>
        <w:t>权</w:t>
      </w:r>
      <w:r>
        <w:rPr>
          <w:spacing w:val="16"/>
        </w:rPr>
        <w:t>委托</w:t>
      </w:r>
      <w:r>
        <w:rPr>
          <w:spacing w:val="14"/>
        </w:rPr>
        <w:t>日</w:t>
      </w:r>
      <w:r>
        <w:rPr>
          <w:spacing w:val="16"/>
        </w:rPr>
        <w:t>期</w:t>
      </w:r>
      <w:r>
        <w:rPr>
          <w:spacing w:val="13"/>
        </w:rPr>
        <w:t>：</w:t>
      </w:r>
      <w:r>
        <w:rPr>
          <w:spacing w:val="13"/>
          <w:u w:val="single"/>
        </w:rPr>
        <w:t xml:space="preserve"> </w:t>
      </w:r>
      <w:r>
        <w:rPr>
          <w:spacing w:val="13"/>
          <w:u w:val="single"/>
        </w:rPr>
        <w:tab/>
      </w:r>
      <w:r>
        <w:rPr>
          <w:spacing w:val="13"/>
        </w:rPr>
        <w:t>年</w:t>
      </w:r>
      <w:r>
        <w:rPr>
          <w:spacing w:val="13"/>
          <w:u w:val="single"/>
        </w:rPr>
        <w:t xml:space="preserve"> </w:t>
      </w:r>
      <w:r>
        <w:rPr>
          <w:spacing w:val="13"/>
          <w:u w:val="single"/>
        </w:rPr>
        <w:tab/>
      </w:r>
      <w:r>
        <w:rPr>
          <w:spacing w:val="16"/>
        </w:rPr>
        <w:t>月</w:t>
      </w:r>
      <w:r>
        <w:rPr>
          <w:spacing w:val="16"/>
          <w:u w:val="single"/>
        </w:rPr>
        <w:t xml:space="preserve"> </w:t>
      </w:r>
      <w:r>
        <w:rPr>
          <w:spacing w:val="16"/>
          <w:u w:val="single"/>
        </w:rPr>
        <w:tab/>
      </w:r>
      <w:r>
        <w:t>日</w:t>
      </w: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spacing w:before="10"/>
        <w:rPr>
          <w:sz w:val="19"/>
        </w:rPr>
      </w:pPr>
    </w:p>
    <w:p>
      <w:pPr>
        <w:pStyle w:val="11"/>
        <w:spacing w:before="1"/>
        <w:ind w:left="817" w:right="344"/>
        <w:jc w:val="center"/>
      </w:pPr>
      <w:r>
        <w:t>（后附被委托人身份证扫描件）</w:t>
      </w:r>
    </w:p>
    <w:p>
      <w:pPr>
        <w:jc w:val="center"/>
        <w:sectPr>
          <w:pgSz w:w="11910" w:h="16840"/>
          <w:pgMar w:top="1560" w:right="720" w:bottom="1180" w:left="940" w:header="0" w:footer="993" w:gutter="0"/>
          <w:cols w:space="720" w:num="1"/>
        </w:sectPr>
      </w:pPr>
    </w:p>
    <w:p>
      <w:pPr>
        <w:pStyle w:val="8"/>
        <w:spacing w:before="52"/>
        <w:ind w:right="61"/>
        <w:jc w:val="center"/>
      </w:pPr>
      <w:r>
        <w:t>三、投标函</w:t>
      </w:r>
    </w:p>
    <w:p>
      <w:pPr>
        <w:widowControl/>
      </w:pPr>
      <w:r>
        <w:rPr>
          <w:rFonts w:hint="eastAsia"/>
          <w:color w:val="000000"/>
          <w:sz w:val="24"/>
          <w:szCs w:val="24"/>
          <w:lang w:val="en-US"/>
        </w:rPr>
        <w:t xml:space="preserve">致： </w:t>
      </w:r>
    </w:p>
    <w:p>
      <w:pPr>
        <w:widowControl/>
        <w:rPr>
          <w:b/>
          <w:bCs/>
          <w:u w:val="single"/>
        </w:rPr>
      </w:pPr>
      <w:r>
        <w:rPr>
          <w:rFonts w:hint="eastAsia"/>
          <w:b/>
          <w:bCs/>
          <w:color w:val="000000"/>
          <w:sz w:val="24"/>
          <w:szCs w:val="24"/>
          <w:u w:val="single"/>
          <w:lang w:val="en-US"/>
        </w:rPr>
        <w:t xml:space="preserve">（采购人名称） </w:t>
      </w:r>
    </w:p>
    <w:p>
      <w:pPr>
        <w:widowControl/>
      </w:pPr>
      <w:r>
        <w:rPr>
          <w:rFonts w:hint="eastAsia"/>
          <w:color w:val="000000"/>
          <w:sz w:val="24"/>
          <w:szCs w:val="24"/>
          <w:lang w:val="en-US"/>
        </w:rPr>
        <w:t>我们收到贵方</w:t>
      </w:r>
      <w:r>
        <w:rPr>
          <w:rFonts w:hint="eastAsia"/>
          <w:b/>
          <w:bCs/>
          <w:color w:val="000000"/>
          <w:sz w:val="24"/>
          <w:szCs w:val="24"/>
          <w:u w:val="single"/>
          <w:lang w:val="en-US"/>
        </w:rPr>
        <w:t xml:space="preserve"> （项目编号） </w:t>
      </w:r>
      <w:r>
        <w:rPr>
          <w:rFonts w:hint="eastAsia"/>
          <w:color w:val="000000"/>
          <w:sz w:val="24"/>
          <w:szCs w:val="24"/>
          <w:lang w:val="en-US"/>
        </w:rPr>
        <w:t xml:space="preserve">的 </w:t>
      </w:r>
      <w:r>
        <w:rPr>
          <w:rFonts w:hint="eastAsia"/>
          <w:b/>
          <w:bCs/>
          <w:color w:val="000000"/>
          <w:sz w:val="24"/>
          <w:szCs w:val="24"/>
          <w:u w:val="single"/>
          <w:lang w:val="en-US"/>
        </w:rPr>
        <w:t>（项目名称）</w:t>
      </w:r>
      <w:r>
        <w:rPr>
          <w:rFonts w:hint="eastAsia"/>
          <w:color w:val="000000"/>
          <w:sz w:val="24"/>
          <w:szCs w:val="24"/>
          <w:lang w:val="en-US"/>
        </w:rPr>
        <w:t>招标文件，经详 细研究，我们决定参加该项目投标。并授权</w:t>
      </w:r>
      <w:r>
        <w:rPr>
          <w:rFonts w:hint="eastAsia"/>
          <w:b/>
          <w:bCs/>
          <w:color w:val="000000"/>
          <w:sz w:val="24"/>
          <w:szCs w:val="24"/>
          <w:u w:val="single"/>
          <w:lang w:val="en-US"/>
        </w:rPr>
        <w:t xml:space="preserve"> （姓名、职务）</w:t>
      </w:r>
      <w:r>
        <w:rPr>
          <w:rFonts w:hint="eastAsia"/>
          <w:color w:val="000000"/>
          <w:sz w:val="24"/>
          <w:szCs w:val="24"/>
          <w:lang w:val="en-US"/>
        </w:rPr>
        <w:t>，全权代表我单位提交下述文件正本壹份，副本</w:t>
      </w:r>
      <w:r>
        <w:rPr>
          <w:rFonts w:hint="eastAsia"/>
          <w:sz w:val="24"/>
        </w:rPr>
        <w:t>贰</w:t>
      </w:r>
      <w:r>
        <w:rPr>
          <w:rFonts w:hint="eastAsia"/>
          <w:color w:val="000000"/>
          <w:sz w:val="24"/>
          <w:szCs w:val="24"/>
          <w:lang w:val="en-US"/>
        </w:rPr>
        <w:t>份。并同时承诺愿意遵守下列条 款：</w:t>
      </w:r>
    </w:p>
    <w:p>
      <w:pPr>
        <w:widowControl/>
      </w:pPr>
      <w:r>
        <w:rPr>
          <w:rFonts w:hint="eastAsia"/>
          <w:color w:val="000000"/>
          <w:sz w:val="24"/>
          <w:szCs w:val="24"/>
          <w:lang w:val="en-US"/>
        </w:rPr>
        <w:t xml:space="preserve">1)承认和愿意按照招标文件中的各项规定和要求，提供本次采购设备供货、 </w:t>
      </w:r>
    </w:p>
    <w:p>
      <w:pPr>
        <w:widowControl/>
      </w:pPr>
      <w:r>
        <w:rPr>
          <w:rFonts w:hint="eastAsia"/>
          <w:color w:val="000000"/>
          <w:sz w:val="24"/>
          <w:szCs w:val="24"/>
          <w:lang w:val="en-US"/>
        </w:rPr>
        <w:t xml:space="preserve">售后及维保服务。我方报价为人民币（大写）： (¥ 元)， </w:t>
      </w:r>
    </w:p>
    <w:p>
      <w:pPr>
        <w:widowControl/>
      </w:pPr>
      <w:r>
        <w:rPr>
          <w:rFonts w:hint="eastAsia"/>
          <w:color w:val="000000"/>
          <w:sz w:val="24"/>
          <w:szCs w:val="24"/>
          <w:lang w:val="en-US"/>
        </w:rPr>
        <w:t>服务周期为</w:t>
      </w:r>
      <w:r>
        <w:rPr>
          <w:rFonts w:hint="eastAsia"/>
          <w:color w:val="000000"/>
          <w:sz w:val="24"/>
          <w:szCs w:val="24"/>
          <w:u w:val="single"/>
          <w:lang w:val="en-US"/>
        </w:rPr>
        <w:t xml:space="preserve">               </w:t>
      </w:r>
      <w:r>
        <w:rPr>
          <w:rFonts w:hint="eastAsia"/>
          <w:color w:val="000000"/>
          <w:sz w:val="24"/>
          <w:szCs w:val="24"/>
          <w:lang w:val="en-US"/>
        </w:rPr>
        <w:t xml:space="preserve">，质量标准 </w:t>
      </w:r>
      <w:r>
        <w:rPr>
          <w:rFonts w:hint="eastAsia"/>
          <w:color w:val="000000"/>
          <w:sz w:val="24"/>
          <w:szCs w:val="24"/>
          <w:u w:val="single"/>
          <w:lang w:val="en-US"/>
        </w:rPr>
        <w:t xml:space="preserve">            </w:t>
      </w:r>
      <w:r>
        <w:rPr>
          <w:rFonts w:hint="eastAsia"/>
          <w:color w:val="000000"/>
          <w:sz w:val="24"/>
          <w:szCs w:val="24"/>
          <w:lang w:val="en-US"/>
        </w:rPr>
        <w:t xml:space="preserve">。 </w:t>
      </w:r>
    </w:p>
    <w:p>
      <w:pPr>
        <w:widowControl/>
      </w:pPr>
      <w:r>
        <w:rPr>
          <w:rFonts w:hint="eastAsia"/>
          <w:color w:val="000000"/>
          <w:sz w:val="24"/>
          <w:szCs w:val="24"/>
          <w:lang w:val="en-US"/>
        </w:rPr>
        <w:t xml:space="preserve">2)愿意按照《合同法》和《中华人民共和国政府采购法》以及《政府采购货物和服务招标投标管理办法》（财政部87号令）履行自己的责任和义务。 </w:t>
      </w:r>
    </w:p>
    <w:p>
      <w:pPr>
        <w:widowControl/>
      </w:pPr>
      <w:r>
        <w:rPr>
          <w:rFonts w:hint="eastAsia"/>
          <w:color w:val="000000"/>
          <w:sz w:val="24"/>
          <w:szCs w:val="24"/>
          <w:lang w:val="en-US"/>
        </w:rPr>
        <w:t>3)如果我们</w:t>
      </w:r>
      <w:r>
        <w:rPr>
          <w:rFonts w:hint="eastAsia"/>
          <w:color w:val="000000"/>
          <w:sz w:val="24"/>
          <w:szCs w:val="24"/>
          <w:lang w:val="en-US" w:eastAsia="zh-CN"/>
        </w:rPr>
        <w:t>竞争性磋商文件</w:t>
      </w:r>
      <w:r>
        <w:rPr>
          <w:rFonts w:hint="eastAsia"/>
          <w:color w:val="000000"/>
          <w:sz w:val="24"/>
          <w:szCs w:val="24"/>
          <w:lang w:val="en-US"/>
        </w:rPr>
        <w:t xml:space="preserve">被接受，我们将履行竞争性招标文件中规定的每一项要求，按期、按质、按量完成任务。 </w:t>
      </w:r>
    </w:p>
    <w:p>
      <w:pPr>
        <w:widowControl/>
      </w:pPr>
      <w:r>
        <w:rPr>
          <w:rFonts w:hint="eastAsia"/>
          <w:color w:val="000000"/>
          <w:sz w:val="24"/>
          <w:szCs w:val="24"/>
          <w:lang w:val="en-US"/>
        </w:rPr>
        <w:t xml:space="preserve">4)我们愿意提供采购人在招标文件中要求的所有资料，并对真实性负责。 </w:t>
      </w:r>
    </w:p>
    <w:p>
      <w:pPr>
        <w:widowControl/>
      </w:pPr>
      <w:r>
        <w:rPr>
          <w:rFonts w:hint="eastAsia"/>
          <w:color w:val="000000"/>
          <w:sz w:val="24"/>
          <w:szCs w:val="24"/>
          <w:lang w:val="en-US"/>
        </w:rPr>
        <w:t xml:space="preserve">5)我方的投标有效期在开标后60天内有效。 </w:t>
      </w:r>
    </w:p>
    <w:p>
      <w:pPr>
        <w:widowControl/>
      </w:pPr>
      <w:r>
        <w:rPr>
          <w:rFonts w:hint="eastAsia"/>
          <w:color w:val="000000"/>
          <w:sz w:val="24"/>
          <w:szCs w:val="24"/>
          <w:lang w:val="en-US"/>
        </w:rPr>
        <w:t xml:space="preserve">6）我方理解价格不作为唯一的评价因素，报价最低不作为中标的唯一条件。同时 </w:t>
      </w:r>
    </w:p>
    <w:p>
      <w:pPr>
        <w:widowControl/>
      </w:pPr>
      <w:r>
        <w:rPr>
          <w:rFonts w:hint="eastAsia"/>
          <w:color w:val="000000"/>
          <w:sz w:val="24"/>
          <w:szCs w:val="24"/>
          <w:lang w:val="en-US"/>
        </w:rPr>
        <w:t>也理解，贵方不负担我方的任何投标费用</w:t>
      </w:r>
    </w:p>
    <w:p>
      <w:pPr>
        <w:pStyle w:val="11"/>
        <w:rPr>
          <w:sz w:val="26"/>
        </w:rPr>
      </w:pPr>
    </w:p>
    <w:p>
      <w:pPr>
        <w:pStyle w:val="11"/>
        <w:rPr>
          <w:sz w:val="26"/>
        </w:rPr>
      </w:pPr>
    </w:p>
    <w:p>
      <w:pPr>
        <w:pStyle w:val="11"/>
        <w:spacing w:before="6"/>
        <w:rPr>
          <w:sz w:val="29"/>
        </w:rPr>
      </w:pPr>
    </w:p>
    <w:p>
      <w:pPr>
        <w:pStyle w:val="11"/>
        <w:tabs>
          <w:tab w:val="left" w:pos="4066"/>
          <w:tab w:val="left" w:pos="4385"/>
          <w:tab w:val="left" w:pos="5441"/>
          <w:tab w:val="left" w:pos="6953"/>
          <w:tab w:val="left" w:pos="7732"/>
          <w:tab w:val="left" w:pos="7797"/>
        </w:tabs>
        <w:spacing w:line="374" w:lineRule="auto"/>
        <w:ind w:left="898" w:right="2446"/>
        <w:jc w:val="both"/>
        <w:rPr>
          <w:rFonts w:ascii="Times New Roman" w:eastAsia="Times New Roman"/>
        </w:rPr>
      </w:pPr>
      <w:r>
        <w:t>投 标</w:t>
      </w:r>
      <w:r>
        <w:rPr>
          <w:spacing w:val="62"/>
        </w:rPr>
        <w:t xml:space="preserve"> </w:t>
      </w:r>
      <w:r>
        <w:rPr>
          <w:spacing w:val="16"/>
        </w:rPr>
        <w:t>人：</w:t>
      </w:r>
      <w:r>
        <w:rPr>
          <w:spacing w:val="16"/>
          <w:u w:val="single"/>
        </w:rPr>
        <w:t xml:space="preserve"> </w:t>
      </w:r>
      <w:r>
        <w:rPr>
          <w:spacing w:val="16"/>
          <w:u w:val="single"/>
        </w:rPr>
        <w:tab/>
      </w:r>
      <w:r>
        <w:rPr>
          <w:spacing w:val="16"/>
          <w:u w:val="single"/>
        </w:rPr>
        <w:tab/>
      </w:r>
      <w:r>
        <w:rPr>
          <w:spacing w:val="16"/>
          <w:u w:val="single"/>
        </w:rPr>
        <w:tab/>
      </w:r>
      <w:r>
        <w:rPr>
          <w:spacing w:val="16"/>
          <w:u w:val="single"/>
        </w:rPr>
        <w:tab/>
      </w:r>
      <w:r>
        <w:rPr>
          <w:spacing w:val="7"/>
          <w:u w:val="single"/>
        </w:rPr>
        <w:t>(</w:t>
      </w:r>
      <w:r>
        <w:rPr>
          <w:spacing w:val="16"/>
          <w:u w:val="single"/>
        </w:rPr>
        <w:t>盖章</w:t>
      </w:r>
      <w:r>
        <w:rPr>
          <w:u w:val="single"/>
        </w:rPr>
        <w:t xml:space="preserve">) </w:t>
      </w:r>
      <w:r>
        <w:rPr>
          <w:spacing w:val="16"/>
        </w:rPr>
        <w:t>法</w:t>
      </w:r>
      <w:r>
        <w:rPr>
          <w:spacing w:val="14"/>
        </w:rPr>
        <w:t>定</w:t>
      </w:r>
      <w:r>
        <w:rPr>
          <w:spacing w:val="16"/>
        </w:rPr>
        <w:t>代表</w:t>
      </w:r>
      <w:r>
        <w:rPr>
          <w:spacing w:val="14"/>
        </w:rPr>
        <w:t>人</w:t>
      </w:r>
      <w:r>
        <w:rPr>
          <w:spacing w:val="16"/>
        </w:rPr>
        <w:t>：</w:t>
      </w:r>
      <w:r>
        <w:rPr>
          <w:spacing w:val="16"/>
          <w:u w:val="single"/>
        </w:rPr>
        <w:t xml:space="preserve"> </w:t>
      </w:r>
      <w:r>
        <w:rPr>
          <w:spacing w:val="16"/>
          <w:u w:val="single"/>
        </w:rPr>
        <w:tab/>
      </w:r>
      <w:r>
        <w:rPr>
          <w:spacing w:val="16"/>
          <w:u w:val="single"/>
        </w:rPr>
        <w:t>（</w:t>
      </w:r>
      <w:r>
        <w:rPr>
          <w:spacing w:val="14"/>
          <w:u w:val="single"/>
        </w:rPr>
        <w:t>签</w:t>
      </w:r>
      <w:r>
        <w:rPr>
          <w:spacing w:val="16"/>
          <w:u w:val="single"/>
        </w:rPr>
        <w:t>字或</w:t>
      </w:r>
      <w:r>
        <w:rPr>
          <w:spacing w:val="14"/>
          <w:u w:val="single"/>
        </w:rPr>
        <w:t>盖</w:t>
      </w:r>
      <w:r>
        <w:rPr>
          <w:spacing w:val="16"/>
          <w:u w:val="single"/>
        </w:rPr>
        <w:t>章</w:t>
      </w:r>
      <w:r>
        <w:rPr>
          <w:u w:val="single"/>
        </w:rPr>
        <w:t>）</w:t>
      </w:r>
      <w:r>
        <w:rPr>
          <w:u w:val="single"/>
        </w:rPr>
        <w:tab/>
      </w:r>
      <w:r>
        <w:rPr>
          <w:u w:val="single"/>
        </w:rPr>
        <w:tab/>
      </w:r>
      <w:r>
        <w:rPr>
          <w:w w:val="24"/>
          <w:u w:val="single"/>
        </w:rPr>
        <w:t xml:space="preserve"> </w:t>
      </w:r>
      <w:r>
        <w:rPr>
          <w:spacing w:val="16"/>
        </w:rPr>
        <w:t>单</w:t>
      </w:r>
      <w:r>
        <w:rPr>
          <w:spacing w:val="14"/>
        </w:rPr>
        <w:t>位</w:t>
      </w:r>
      <w:r>
        <w:rPr>
          <w:spacing w:val="16"/>
        </w:rPr>
        <w:t>地址</w:t>
      </w:r>
      <w:r>
        <w:rPr>
          <w:spacing w:val="13"/>
        </w:rPr>
        <w:t>：</w:t>
      </w:r>
      <w:r>
        <w:rPr>
          <w:spacing w:val="13"/>
          <w:u w:val="single"/>
        </w:rPr>
        <w:t xml:space="preserve"> </w:t>
      </w:r>
      <w:r>
        <w:rPr>
          <w:spacing w:val="13"/>
          <w:u w:val="single"/>
        </w:rPr>
        <w:tab/>
      </w:r>
      <w:r>
        <w:rPr>
          <w:spacing w:val="13"/>
          <w:u w:val="single"/>
        </w:rPr>
        <w:tab/>
      </w:r>
      <w:r>
        <w:rPr>
          <w:spacing w:val="13"/>
          <w:u w:val="single"/>
        </w:rPr>
        <w:tab/>
      </w:r>
      <w:r>
        <w:rPr>
          <w:spacing w:val="16"/>
        </w:rPr>
        <w:t>邮</w:t>
      </w:r>
      <w:r>
        <w:rPr>
          <w:spacing w:val="14"/>
        </w:rPr>
        <w:t>政</w:t>
      </w:r>
      <w:r>
        <w:rPr>
          <w:spacing w:val="16"/>
        </w:rPr>
        <w:t>编码</w:t>
      </w:r>
      <w:r>
        <w:rPr>
          <w:spacing w:val="13"/>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 xml:space="preserve">电   </w:t>
      </w:r>
      <w:r>
        <w:rPr>
          <w:spacing w:val="79"/>
        </w:rPr>
        <w:t xml:space="preserve"> </w:t>
      </w:r>
      <w:r>
        <w:rPr>
          <w:spacing w:val="16"/>
        </w:rPr>
        <w:t>话</w:t>
      </w:r>
      <w:r>
        <w:rPr>
          <w:spacing w:val="13"/>
        </w:rPr>
        <w:t>：</w:t>
      </w:r>
      <w:r>
        <w:rPr>
          <w:spacing w:val="13"/>
          <w:u w:val="single"/>
        </w:rPr>
        <w:t xml:space="preserve"> </w:t>
      </w:r>
      <w:r>
        <w:rPr>
          <w:spacing w:val="13"/>
          <w:u w:val="single"/>
        </w:rPr>
        <w:tab/>
      </w:r>
      <w:r>
        <w:rPr>
          <w:spacing w:val="13"/>
          <w:u w:val="single"/>
        </w:rPr>
        <w:tab/>
      </w:r>
      <w:r>
        <w:t xml:space="preserve">传  </w:t>
      </w:r>
      <w:r>
        <w:rPr>
          <w:spacing w:val="63"/>
        </w:rPr>
        <w:t xml:space="preserve"> </w:t>
      </w:r>
      <w:r>
        <w:rPr>
          <w:spacing w:val="16"/>
        </w:rPr>
        <w:t>真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11"/>
        <w:tabs>
          <w:tab w:val="left" w:pos="2122"/>
          <w:tab w:val="left" w:pos="3466"/>
          <w:tab w:val="left" w:pos="4673"/>
        </w:tabs>
        <w:spacing w:line="278" w:lineRule="exact"/>
        <w:ind w:left="898"/>
      </w:pPr>
      <w:r>
        <w:rPr>
          <w:rFonts w:ascii="Times New Roman" w:eastAsia="Times New Roman"/>
          <w:u w:val="single"/>
        </w:rPr>
        <w:t xml:space="preserve"> </w:t>
      </w:r>
      <w:r>
        <w:rPr>
          <w:rFonts w:ascii="Times New Roman" w:eastAsia="Times New Roman"/>
          <w:u w:val="single"/>
        </w:rPr>
        <w:tab/>
      </w:r>
      <w:r>
        <w:rPr>
          <w:spacing w:val="13"/>
        </w:rPr>
        <w:t>年</w:t>
      </w:r>
      <w:r>
        <w:rPr>
          <w:spacing w:val="13"/>
          <w:u w:val="single"/>
        </w:rPr>
        <w:t xml:space="preserve"> </w:t>
      </w:r>
      <w:r>
        <w:rPr>
          <w:spacing w:val="13"/>
          <w:u w:val="single"/>
        </w:rPr>
        <w:tab/>
      </w:r>
      <w:r>
        <w:rPr>
          <w:spacing w:val="13"/>
        </w:rPr>
        <w:t>月</w:t>
      </w:r>
      <w:r>
        <w:rPr>
          <w:spacing w:val="13"/>
          <w:u w:val="single"/>
        </w:rPr>
        <w:t xml:space="preserve"> </w:t>
      </w:r>
      <w:r>
        <w:rPr>
          <w:spacing w:val="13"/>
          <w:u w:val="single"/>
        </w:rPr>
        <w:tab/>
      </w:r>
      <w:r>
        <w:t>日</w:t>
      </w:r>
    </w:p>
    <w:p>
      <w:pPr>
        <w:spacing w:line="278" w:lineRule="exact"/>
        <w:sectPr>
          <w:pgSz w:w="11910" w:h="16840"/>
          <w:pgMar w:top="1580" w:right="720" w:bottom="1180" w:left="940" w:header="0" w:footer="993" w:gutter="0"/>
          <w:cols w:space="720" w:num="1"/>
        </w:sectPr>
      </w:pPr>
    </w:p>
    <w:p>
      <w:pPr>
        <w:pStyle w:val="11"/>
        <w:spacing w:before="4"/>
        <w:rPr>
          <w:sz w:val="14"/>
        </w:rPr>
      </w:pPr>
    </w:p>
    <w:p>
      <w:pPr>
        <w:pStyle w:val="5"/>
        <w:spacing w:before="55"/>
        <w:ind w:right="61"/>
      </w:pPr>
      <w:r>
        <w:t>四、投标函附录</w:t>
      </w:r>
    </w:p>
    <w:p>
      <w:pPr>
        <w:pStyle w:val="11"/>
        <w:rPr>
          <w:b/>
          <w:sz w:val="20"/>
        </w:rPr>
      </w:pPr>
    </w:p>
    <w:p>
      <w:pPr>
        <w:pStyle w:val="11"/>
        <w:rPr>
          <w:b/>
          <w:sz w:val="20"/>
        </w:rPr>
      </w:pPr>
    </w:p>
    <w:p>
      <w:pPr>
        <w:pStyle w:val="11"/>
        <w:rPr>
          <w:b/>
          <w:sz w:val="20"/>
        </w:rPr>
      </w:pPr>
    </w:p>
    <w:p>
      <w:pPr>
        <w:pStyle w:val="11"/>
        <w:rPr>
          <w:b/>
          <w:sz w:val="20"/>
        </w:rPr>
      </w:pPr>
    </w:p>
    <w:p>
      <w:pPr>
        <w:tabs>
          <w:tab w:val="left" w:pos="4516"/>
        </w:tabs>
        <w:spacing w:before="61"/>
        <w:ind w:right="30"/>
        <w:jc w:val="center"/>
        <w:rPr>
          <w:b/>
          <w:sz w:val="36"/>
        </w:rPr>
      </w:pPr>
      <w:r>
        <w:rPr>
          <w:rFonts w:hint="eastAsia" w:ascii="Times New Roman"/>
          <w:b/>
          <w:sz w:val="36"/>
          <w:u w:val="single"/>
          <w:lang w:val="en-US"/>
        </w:rPr>
        <w:t xml:space="preserve">                 </w:t>
      </w:r>
      <w:r>
        <w:rPr>
          <w:rFonts w:hint="eastAsia" w:ascii="Times New Roman"/>
          <w:b/>
          <w:sz w:val="36"/>
          <w:u w:val="single"/>
        </w:rPr>
        <w:t>（项目名称）</w:t>
      </w:r>
      <w:r>
        <w:rPr>
          <w:rFonts w:hint="eastAsia" w:ascii="Times New Roman"/>
          <w:b/>
          <w:sz w:val="36"/>
          <w:u w:val="single"/>
          <w:lang w:val="en-US"/>
        </w:rPr>
        <w:t xml:space="preserve">             </w:t>
      </w:r>
      <w:r>
        <w:rPr>
          <w:rFonts w:hint="eastAsia"/>
          <w:b/>
          <w:sz w:val="36"/>
          <w:lang w:val="en-US"/>
        </w:rPr>
        <w:t xml:space="preserve"> </w:t>
      </w:r>
    </w:p>
    <w:p>
      <w:pPr>
        <w:pStyle w:val="11"/>
        <w:rPr>
          <w:sz w:val="48"/>
        </w:rPr>
      </w:pPr>
    </w:p>
    <w:p>
      <w:pPr>
        <w:pStyle w:val="11"/>
        <w:spacing w:before="6"/>
        <w:rPr>
          <w:sz w:val="41"/>
        </w:rPr>
      </w:pPr>
    </w:p>
    <w:p>
      <w:pPr>
        <w:spacing w:before="1"/>
        <w:ind w:right="48"/>
        <w:jc w:val="center"/>
        <w:rPr>
          <w:b/>
          <w:sz w:val="52"/>
        </w:rPr>
      </w:pPr>
      <w:r>
        <w:rPr>
          <w:b/>
          <w:sz w:val="52"/>
        </w:rPr>
        <w:t xml:space="preserve">投 标 </w:t>
      </w:r>
      <w:r>
        <w:rPr>
          <w:rFonts w:hint="eastAsia"/>
          <w:b/>
          <w:sz w:val="52"/>
        </w:rPr>
        <w:t>函</w:t>
      </w:r>
      <w:r>
        <w:rPr>
          <w:b/>
          <w:sz w:val="52"/>
        </w:rPr>
        <w:t xml:space="preserve"> 附 录</w:t>
      </w:r>
    </w:p>
    <w:p>
      <w:pPr>
        <w:pStyle w:val="11"/>
        <w:rPr>
          <w:b/>
          <w:sz w:val="52"/>
        </w:rPr>
      </w:pPr>
    </w:p>
    <w:p>
      <w:pPr>
        <w:pStyle w:val="11"/>
        <w:rPr>
          <w:b/>
          <w:sz w:val="52"/>
        </w:rPr>
      </w:pPr>
    </w:p>
    <w:p>
      <w:pPr>
        <w:pStyle w:val="11"/>
        <w:rPr>
          <w:b/>
          <w:sz w:val="52"/>
        </w:rPr>
      </w:pPr>
    </w:p>
    <w:p>
      <w:pPr>
        <w:pStyle w:val="11"/>
        <w:rPr>
          <w:b/>
          <w:sz w:val="52"/>
        </w:rPr>
      </w:pPr>
    </w:p>
    <w:p>
      <w:pPr>
        <w:pStyle w:val="11"/>
        <w:rPr>
          <w:b/>
          <w:sz w:val="52"/>
        </w:rPr>
      </w:pPr>
    </w:p>
    <w:p>
      <w:pPr>
        <w:pStyle w:val="11"/>
        <w:spacing w:before="8"/>
        <w:rPr>
          <w:b/>
          <w:sz w:val="68"/>
        </w:rPr>
      </w:pPr>
    </w:p>
    <w:p>
      <w:pPr>
        <w:tabs>
          <w:tab w:val="left" w:pos="3276"/>
          <w:tab w:val="left" w:pos="3838"/>
          <w:tab w:val="left" w:pos="8527"/>
        </w:tabs>
        <w:ind w:left="2717"/>
        <w:rPr>
          <w:rFonts w:ascii="Times New Roman" w:eastAsia="Times New Roman"/>
          <w:sz w:val="28"/>
        </w:rPr>
      </w:pPr>
      <w:r>
        <w:rPr>
          <w:sz w:val="28"/>
        </w:rPr>
        <w:t>投</w:t>
      </w:r>
      <w:r>
        <w:rPr>
          <w:sz w:val="28"/>
        </w:rPr>
        <w:tab/>
      </w:r>
      <w:r>
        <w:rPr>
          <w:sz w:val="28"/>
        </w:rPr>
        <w:t>标</w:t>
      </w:r>
      <w:r>
        <w:rPr>
          <w:sz w:val="28"/>
        </w:rPr>
        <w:tab/>
      </w:r>
      <w:r>
        <w:rPr>
          <w:spacing w:val="-2"/>
          <w:sz w:val="28"/>
        </w:rPr>
        <w:t>人</w:t>
      </w:r>
      <w:r>
        <w:rPr>
          <w:spacing w:val="-3"/>
          <w:sz w:val="28"/>
        </w:rPr>
        <w:t>（</w:t>
      </w:r>
      <w:r>
        <w:rPr>
          <w:spacing w:val="-2"/>
          <w:sz w:val="28"/>
        </w:rPr>
        <w:t>公</w:t>
      </w:r>
      <w:r>
        <w:rPr>
          <w:spacing w:val="-1"/>
          <w:sz w:val="28"/>
        </w:rPr>
        <w:t>章）：</w:t>
      </w:r>
      <w:r>
        <w:rPr>
          <w:rFonts w:ascii="Times New Roman" w:eastAsia="Times New Roman"/>
          <w:sz w:val="28"/>
          <w:u w:val="single"/>
        </w:rPr>
        <w:t xml:space="preserve"> </w:t>
      </w:r>
      <w:r>
        <w:rPr>
          <w:rFonts w:ascii="Times New Roman" w:eastAsia="Times New Roman"/>
          <w:sz w:val="28"/>
          <w:u w:val="single"/>
        </w:rPr>
        <w:tab/>
      </w:r>
    </w:p>
    <w:p>
      <w:pPr>
        <w:pStyle w:val="11"/>
        <w:rPr>
          <w:rFonts w:ascii="Times New Roman"/>
          <w:sz w:val="20"/>
        </w:rPr>
      </w:pPr>
    </w:p>
    <w:p>
      <w:pPr>
        <w:tabs>
          <w:tab w:val="left" w:pos="8527"/>
        </w:tabs>
        <w:spacing w:before="239"/>
        <w:ind w:left="2717"/>
        <w:rPr>
          <w:rFonts w:ascii="Times New Roman" w:eastAsia="Times New Roman"/>
          <w:sz w:val="28"/>
        </w:rPr>
      </w:pPr>
      <w:r>
        <w:rPr>
          <w:spacing w:val="-1"/>
          <w:sz w:val="28"/>
        </w:rPr>
        <w:t>法</w:t>
      </w:r>
      <w:r>
        <w:rPr>
          <w:spacing w:val="-3"/>
          <w:sz w:val="28"/>
        </w:rPr>
        <w:t>定</w:t>
      </w:r>
      <w:r>
        <w:rPr>
          <w:spacing w:val="-1"/>
          <w:sz w:val="28"/>
        </w:rPr>
        <w:t>代表</w:t>
      </w:r>
      <w:r>
        <w:rPr>
          <w:spacing w:val="-3"/>
          <w:sz w:val="28"/>
        </w:rPr>
        <w:t>人</w:t>
      </w:r>
      <w:r>
        <w:rPr>
          <w:spacing w:val="-1"/>
          <w:sz w:val="28"/>
        </w:rPr>
        <w:t>（印</w:t>
      </w:r>
      <w:r>
        <w:rPr>
          <w:spacing w:val="-3"/>
          <w:sz w:val="28"/>
        </w:rPr>
        <w:t>章</w:t>
      </w:r>
      <w:r>
        <w:rPr>
          <w:spacing w:val="-1"/>
          <w:sz w:val="28"/>
        </w:rPr>
        <w:t>）：</w:t>
      </w:r>
      <w:r>
        <w:rPr>
          <w:rFonts w:ascii="Times New Roman" w:eastAsia="Times New Roman"/>
          <w:sz w:val="28"/>
          <w:u w:val="single"/>
        </w:rPr>
        <w:t xml:space="preserve"> </w:t>
      </w:r>
      <w:r>
        <w:rPr>
          <w:rFonts w:ascii="Times New Roman" w:eastAsia="Times New Roman"/>
          <w:sz w:val="28"/>
          <w:u w:val="single"/>
        </w:rPr>
        <w:tab/>
      </w:r>
    </w:p>
    <w:p>
      <w:pPr>
        <w:rPr>
          <w:rFonts w:ascii="Times New Roman" w:eastAsia="Times New Roman"/>
          <w:sz w:val="28"/>
        </w:rPr>
        <w:sectPr>
          <w:pgSz w:w="11910" w:h="16840"/>
          <w:pgMar w:top="1580" w:right="720" w:bottom="1180" w:left="940" w:header="0" w:footer="993" w:gutter="0"/>
          <w:cols w:space="720" w:num="1"/>
        </w:sectPr>
      </w:pPr>
    </w:p>
    <w:p>
      <w:pPr>
        <w:pStyle w:val="11"/>
        <w:spacing w:before="8"/>
        <w:rPr>
          <w:rFonts w:ascii="Times New Roman"/>
          <w:sz w:val="17"/>
        </w:rPr>
      </w:pPr>
    </w:p>
    <w:p>
      <w:pPr>
        <w:spacing w:before="54"/>
        <w:ind w:right="47"/>
        <w:jc w:val="center"/>
        <w:rPr>
          <w:b/>
          <w:sz w:val="32"/>
        </w:rPr>
      </w:pPr>
      <w:bookmarkStart w:id="24" w:name="投标函附录"/>
      <w:bookmarkEnd w:id="24"/>
      <w:r>
        <w:rPr>
          <w:b/>
          <w:sz w:val="32"/>
        </w:rPr>
        <w:t>投标函附录</w:t>
      </w:r>
      <w:r>
        <w:rPr>
          <w:rFonts w:hint="eastAsia"/>
          <w:b/>
          <w:sz w:val="32"/>
        </w:rPr>
        <w:t>（报价表）</w:t>
      </w:r>
    </w:p>
    <w:p>
      <w:pPr>
        <w:pStyle w:val="11"/>
        <w:spacing w:before="3"/>
        <w:rPr>
          <w:b/>
          <w:sz w:val="44"/>
        </w:rPr>
      </w:pPr>
    </w:p>
    <w:p>
      <w:pPr>
        <w:jc w:val="center"/>
        <w:rPr>
          <w:b/>
          <w:sz w:val="44"/>
          <w:szCs w:val="44"/>
        </w:rPr>
      </w:pPr>
      <w:r>
        <w:rPr>
          <w:rFonts w:hint="eastAsia"/>
          <w:b/>
          <w:sz w:val="44"/>
          <w:szCs w:val="44"/>
        </w:rPr>
        <w:t>邢台市林业局物资（服务）采购报价单</w:t>
      </w:r>
    </w:p>
    <w:p>
      <w:pPr>
        <w:pStyle w:val="56"/>
        <w:spacing w:before="0" w:beforeAutospacing="0" w:after="0" w:afterAutospacing="0" w:line="360" w:lineRule="auto"/>
        <w:rPr>
          <w:color w:val="000000"/>
          <w:sz w:val="28"/>
          <w:szCs w:val="28"/>
        </w:rPr>
      </w:pPr>
      <w:r>
        <w:rPr>
          <w:rFonts w:hint="eastAsia"/>
        </w:rPr>
        <w:t>  </w:t>
      </w:r>
      <w:r>
        <w:rPr>
          <w:rFonts w:hint="eastAsia"/>
          <w:color w:val="000000"/>
          <w:sz w:val="28"/>
          <w:szCs w:val="28"/>
        </w:rPr>
        <w:t xml:space="preserve">                                                     </w:t>
      </w:r>
      <w:r>
        <w:rPr>
          <w:rFonts w:hint="eastAsia"/>
          <w:sz w:val="30"/>
          <w:szCs w:val="30"/>
        </w:rPr>
        <w:t>年    月    日</w:t>
      </w:r>
    </w:p>
    <w:tbl>
      <w:tblPr>
        <w:tblStyle w:val="20"/>
        <w:tblW w:w="104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5"/>
        <w:gridCol w:w="1306"/>
        <w:gridCol w:w="1308"/>
        <w:gridCol w:w="1306"/>
        <w:gridCol w:w="1310"/>
        <w:gridCol w:w="1312"/>
        <w:gridCol w:w="1115"/>
        <w:gridCol w:w="1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305" w:type="dxa"/>
            <w:vAlign w:val="center"/>
          </w:tcPr>
          <w:p>
            <w:pPr>
              <w:spacing w:line="360" w:lineRule="auto"/>
              <w:jc w:val="center"/>
              <w:rPr>
                <w:sz w:val="24"/>
              </w:rPr>
            </w:pPr>
            <w:r>
              <w:rPr>
                <w:rFonts w:hint="eastAsia"/>
                <w:sz w:val="24"/>
              </w:rPr>
              <w:t>报价单位名称</w:t>
            </w:r>
          </w:p>
        </w:tc>
        <w:tc>
          <w:tcPr>
            <w:tcW w:w="6542" w:type="dxa"/>
            <w:gridSpan w:val="5"/>
            <w:vAlign w:val="center"/>
          </w:tcPr>
          <w:p>
            <w:pPr>
              <w:spacing w:line="360" w:lineRule="auto"/>
              <w:ind w:firstLine="6720" w:firstLineChars="2400"/>
              <w:rPr>
                <w:sz w:val="28"/>
                <w:szCs w:val="28"/>
              </w:rPr>
            </w:pPr>
            <w:r>
              <w:rPr>
                <w:rFonts w:hint="eastAsia"/>
                <w:sz w:val="28"/>
                <w:szCs w:val="28"/>
              </w:rPr>
              <w:t>（单位公章）</w:t>
            </w:r>
          </w:p>
        </w:tc>
        <w:tc>
          <w:tcPr>
            <w:tcW w:w="1115" w:type="dxa"/>
            <w:vAlign w:val="center"/>
          </w:tcPr>
          <w:p>
            <w:pPr>
              <w:spacing w:line="360" w:lineRule="auto"/>
              <w:jc w:val="center"/>
              <w:rPr>
                <w:sz w:val="24"/>
              </w:rPr>
            </w:pPr>
            <w:r>
              <w:rPr>
                <w:rFonts w:hint="eastAsia"/>
                <w:sz w:val="24"/>
              </w:rPr>
              <w:t>法人代表</w:t>
            </w: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305" w:type="dxa"/>
            <w:vAlign w:val="center"/>
          </w:tcPr>
          <w:p>
            <w:pPr>
              <w:spacing w:line="360" w:lineRule="auto"/>
              <w:jc w:val="center"/>
              <w:rPr>
                <w:sz w:val="24"/>
              </w:rPr>
            </w:pPr>
            <w:r>
              <w:rPr>
                <w:rFonts w:hint="eastAsia"/>
                <w:sz w:val="24"/>
              </w:rPr>
              <w:t>联系人</w:t>
            </w:r>
          </w:p>
        </w:tc>
        <w:tc>
          <w:tcPr>
            <w:tcW w:w="1306" w:type="dxa"/>
            <w:vAlign w:val="center"/>
          </w:tcPr>
          <w:p>
            <w:pPr>
              <w:spacing w:line="360" w:lineRule="auto"/>
              <w:jc w:val="center"/>
              <w:rPr>
                <w:sz w:val="24"/>
              </w:rPr>
            </w:pPr>
          </w:p>
        </w:tc>
        <w:tc>
          <w:tcPr>
            <w:tcW w:w="1308" w:type="dxa"/>
            <w:vAlign w:val="center"/>
          </w:tcPr>
          <w:p>
            <w:pPr>
              <w:spacing w:line="360" w:lineRule="auto"/>
              <w:jc w:val="center"/>
              <w:rPr>
                <w:sz w:val="24"/>
              </w:rPr>
            </w:pPr>
            <w:r>
              <w:rPr>
                <w:rFonts w:hint="eastAsia"/>
                <w:sz w:val="24"/>
              </w:rPr>
              <w:t>联系电话</w:t>
            </w:r>
          </w:p>
        </w:tc>
        <w:tc>
          <w:tcPr>
            <w:tcW w:w="2616" w:type="dxa"/>
            <w:gridSpan w:val="2"/>
            <w:vAlign w:val="center"/>
          </w:tcPr>
          <w:p>
            <w:pPr>
              <w:spacing w:line="360" w:lineRule="auto"/>
              <w:jc w:val="center"/>
              <w:rPr>
                <w:sz w:val="24"/>
              </w:rPr>
            </w:pPr>
          </w:p>
        </w:tc>
        <w:tc>
          <w:tcPr>
            <w:tcW w:w="1312" w:type="dxa"/>
            <w:vAlign w:val="center"/>
          </w:tcPr>
          <w:p>
            <w:pPr>
              <w:spacing w:line="360" w:lineRule="auto"/>
              <w:jc w:val="center"/>
              <w:rPr>
                <w:sz w:val="24"/>
              </w:rPr>
            </w:pPr>
            <w:r>
              <w:rPr>
                <w:rFonts w:hint="eastAsia"/>
                <w:sz w:val="24"/>
              </w:rPr>
              <w:t>单位地址</w:t>
            </w:r>
          </w:p>
        </w:tc>
        <w:tc>
          <w:tcPr>
            <w:tcW w:w="2615" w:type="dxa"/>
            <w:gridSpan w:val="2"/>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305" w:type="dxa"/>
            <w:vAlign w:val="center"/>
          </w:tcPr>
          <w:p>
            <w:pPr>
              <w:spacing w:line="360" w:lineRule="auto"/>
              <w:jc w:val="center"/>
              <w:rPr>
                <w:sz w:val="24"/>
              </w:rPr>
            </w:pPr>
            <w:r>
              <w:rPr>
                <w:rFonts w:hint="eastAsia"/>
                <w:sz w:val="24"/>
              </w:rPr>
              <w:t>采购货物</w:t>
            </w:r>
          </w:p>
          <w:p>
            <w:pPr>
              <w:spacing w:line="360" w:lineRule="auto"/>
              <w:jc w:val="center"/>
              <w:rPr>
                <w:sz w:val="24"/>
              </w:rPr>
            </w:pPr>
            <w:r>
              <w:rPr>
                <w:rFonts w:hint="eastAsia"/>
                <w:sz w:val="24"/>
              </w:rPr>
              <w:t>（服务）名称</w:t>
            </w:r>
          </w:p>
        </w:tc>
        <w:tc>
          <w:tcPr>
            <w:tcW w:w="2614" w:type="dxa"/>
            <w:gridSpan w:val="2"/>
            <w:vAlign w:val="center"/>
          </w:tcPr>
          <w:p>
            <w:pPr>
              <w:spacing w:line="360" w:lineRule="auto"/>
              <w:jc w:val="center"/>
              <w:rPr>
                <w:sz w:val="24"/>
              </w:rPr>
            </w:pPr>
            <w:r>
              <w:rPr>
                <w:rFonts w:hint="eastAsia"/>
                <w:sz w:val="24"/>
              </w:rPr>
              <w:t>型号或具体要求</w:t>
            </w:r>
          </w:p>
        </w:tc>
        <w:tc>
          <w:tcPr>
            <w:tcW w:w="1306" w:type="dxa"/>
            <w:vAlign w:val="center"/>
          </w:tcPr>
          <w:p>
            <w:pPr>
              <w:spacing w:line="360" w:lineRule="auto"/>
              <w:jc w:val="center"/>
              <w:rPr>
                <w:sz w:val="24"/>
              </w:rPr>
            </w:pPr>
            <w:r>
              <w:rPr>
                <w:rFonts w:hint="eastAsia"/>
                <w:sz w:val="24"/>
              </w:rPr>
              <w:t>数量</w:t>
            </w:r>
          </w:p>
        </w:tc>
        <w:tc>
          <w:tcPr>
            <w:tcW w:w="1310" w:type="dxa"/>
            <w:vAlign w:val="center"/>
          </w:tcPr>
          <w:p>
            <w:pPr>
              <w:spacing w:line="360" w:lineRule="auto"/>
              <w:jc w:val="center"/>
              <w:rPr>
                <w:sz w:val="24"/>
              </w:rPr>
            </w:pPr>
            <w:r>
              <w:rPr>
                <w:rFonts w:hint="eastAsia"/>
                <w:sz w:val="24"/>
              </w:rPr>
              <w:t>单位</w:t>
            </w:r>
          </w:p>
        </w:tc>
        <w:tc>
          <w:tcPr>
            <w:tcW w:w="1312" w:type="dxa"/>
            <w:vAlign w:val="center"/>
          </w:tcPr>
          <w:p>
            <w:pPr>
              <w:spacing w:line="360" w:lineRule="auto"/>
              <w:jc w:val="center"/>
              <w:rPr>
                <w:sz w:val="24"/>
              </w:rPr>
            </w:pPr>
            <w:r>
              <w:rPr>
                <w:rFonts w:hint="eastAsia"/>
                <w:sz w:val="24"/>
              </w:rPr>
              <w:t>单价</w:t>
            </w:r>
          </w:p>
        </w:tc>
        <w:tc>
          <w:tcPr>
            <w:tcW w:w="1115" w:type="dxa"/>
            <w:vAlign w:val="center"/>
          </w:tcPr>
          <w:p>
            <w:pPr>
              <w:spacing w:line="360" w:lineRule="auto"/>
              <w:jc w:val="center"/>
              <w:rPr>
                <w:sz w:val="24"/>
              </w:rPr>
            </w:pPr>
            <w:r>
              <w:rPr>
                <w:rFonts w:hint="eastAsia"/>
                <w:sz w:val="24"/>
              </w:rPr>
              <w:t>总价</w:t>
            </w:r>
          </w:p>
        </w:tc>
        <w:tc>
          <w:tcPr>
            <w:tcW w:w="1500" w:type="dxa"/>
            <w:vAlign w:val="center"/>
          </w:tcPr>
          <w:p>
            <w:pPr>
              <w:spacing w:line="360" w:lineRule="auto"/>
              <w:jc w:val="center"/>
              <w:rPr>
                <w:sz w:val="24"/>
              </w:rPr>
            </w:pPr>
            <w:r>
              <w:rPr>
                <w:rFonts w:hint="eastAsia"/>
                <w:sz w:val="24"/>
              </w:rPr>
              <w:t>完成供货（服务）时限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p>
        </w:tc>
        <w:tc>
          <w:tcPr>
            <w:tcW w:w="2614" w:type="dxa"/>
            <w:gridSpan w:val="2"/>
            <w:vAlign w:val="center"/>
          </w:tcPr>
          <w:p>
            <w:pPr>
              <w:spacing w:line="360" w:lineRule="auto"/>
              <w:jc w:val="center"/>
              <w:rPr>
                <w:sz w:val="24"/>
              </w:rPr>
            </w:pPr>
          </w:p>
        </w:tc>
        <w:tc>
          <w:tcPr>
            <w:tcW w:w="1306" w:type="dxa"/>
            <w:vAlign w:val="center"/>
          </w:tcPr>
          <w:p>
            <w:pPr>
              <w:spacing w:line="360" w:lineRule="auto"/>
              <w:jc w:val="center"/>
              <w:rPr>
                <w:sz w:val="24"/>
              </w:rPr>
            </w:pPr>
          </w:p>
        </w:tc>
        <w:tc>
          <w:tcPr>
            <w:tcW w:w="1310" w:type="dxa"/>
            <w:vAlign w:val="center"/>
          </w:tcPr>
          <w:p>
            <w:pPr>
              <w:spacing w:line="360" w:lineRule="auto"/>
              <w:jc w:val="center"/>
              <w:rPr>
                <w:sz w:val="24"/>
              </w:rPr>
            </w:pPr>
          </w:p>
        </w:tc>
        <w:tc>
          <w:tcPr>
            <w:tcW w:w="1312" w:type="dxa"/>
            <w:vAlign w:val="center"/>
          </w:tcPr>
          <w:p>
            <w:pPr>
              <w:spacing w:line="360" w:lineRule="auto"/>
              <w:jc w:val="center"/>
              <w:rPr>
                <w:sz w:val="24"/>
              </w:rPr>
            </w:pPr>
          </w:p>
        </w:tc>
        <w:tc>
          <w:tcPr>
            <w:tcW w:w="1115" w:type="dxa"/>
            <w:vAlign w:val="center"/>
          </w:tcPr>
          <w:p>
            <w:pPr>
              <w:spacing w:line="360" w:lineRule="auto"/>
              <w:jc w:val="center"/>
              <w:rPr>
                <w:sz w:val="24"/>
              </w:rPr>
            </w:pPr>
          </w:p>
        </w:tc>
        <w:tc>
          <w:tcPr>
            <w:tcW w:w="1500"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05" w:type="dxa"/>
            <w:vAlign w:val="center"/>
          </w:tcPr>
          <w:p>
            <w:pPr>
              <w:spacing w:line="360" w:lineRule="auto"/>
              <w:jc w:val="center"/>
              <w:rPr>
                <w:sz w:val="24"/>
              </w:rPr>
            </w:pPr>
            <w:r>
              <w:rPr>
                <w:rFonts w:hint="eastAsia"/>
                <w:sz w:val="24"/>
              </w:rPr>
              <w:t>合计</w:t>
            </w:r>
          </w:p>
        </w:tc>
        <w:tc>
          <w:tcPr>
            <w:tcW w:w="6542" w:type="dxa"/>
            <w:gridSpan w:val="5"/>
            <w:vAlign w:val="center"/>
          </w:tcPr>
          <w:p>
            <w:pPr>
              <w:spacing w:line="360" w:lineRule="auto"/>
              <w:rPr>
                <w:sz w:val="24"/>
              </w:rPr>
            </w:pPr>
            <w:r>
              <w:rPr>
                <w:rFonts w:hint="eastAsia"/>
                <w:sz w:val="24"/>
              </w:rPr>
              <w:t>（大写）       仟   佰    拾    万    仟    佰    拾    元</w:t>
            </w:r>
          </w:p>
        </w:tc>
        <w:tc>
          <w:tcPr>
            <w:tcW w:w="2615" w:type="dxa"/>
            <w:gridSpan w:val="2"/>
            <w:vAlign w:val="center"/>
          </w:tcPr>
          <w:p>
            <w:pPr>
              <w:spacing w:line="360" w:lineRule="auto"/>
              <w:jc w:val="center"/>
              <w:rPr>
                <w:sz w:val="24"/>
              </w:rPr>
            </w:pPr>
            <w:r>
              <w:rPr>
                <w:rFonts w:hint="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305" w:type="dxa"/>
            <w:vAlign w:val="center"/>
          </w:tcPr>
          <w:p>
            <w:pPr>
              <w:spacing w:line="360" w:lineRule="auto"/>
              <w:jc w:val="center"/>
              <w:rPr>
                <w:sz w:val="24"/>
              </w:rPr>
            </w:pPr>
            <w:r>
              <w:rPr>
                <w:rFonts w:hint="eastAsia"/>
                <w:sz w:val="24"/>
              </w:rPr>
              <w:t>供货能力、售后及质量承诺</w:t>
            </w:r>
          </w:p>
        </w:tc>
        <w:tc>
          <w:tcPr>
            <w:tcW w:w="9157" w:type="dxa"/>
            <w:gridSpan w:val="7"/>
            <w:vAlign w:val="center"/>
          </w:tcPr>
          <w:p>
            <w:pPr>
              <w:spacing w:line="360" w:lineRule="auto"/>
              <w:rPr>
                <w:sz w:val="24"/>
              </w:rPr>
            </w:pPr>
          </w:p>
        </w:tc>
      </w:tr>
    </w:tbl>
    <w:p>
      <w:r>
        <w:rPr>
          <w:rFonts w:hint="eastAsia"/>
          <w:sz w:val="28"/>
          <w:szCs w:val="28"/>
        </w:rPr>
        <w:t>请按要求</w:t>
      </w:r>
      <w:r>
        <w:rPr>
          <w:rFonts w:hint="eastAsia"/>
          <w:color w:val="000000"/>
          <w:sz w:val="28"/>
          <w:szCs w:val="28"/>
        </w:rPr>
        <w:t>填写此表，加盖公章，附单位营业资质以及已取得的业绩证明。</w:t>
      </w:r>
    </w:p>
    <w:p>
      <w:pPr>
        <w:pStyle w:val="27"/>
        <w:rPr>
          <w:sz w:val="21"/>
        </w:rPr>
      </w:pPr>
    </w:p>
    <w:p>
      <w:pPr>
        <w:pStyle w:val="11"/>
        <w:rPr>
          <w:sz w:val="21"/>
        </w:rPr>
      </w:pPr>
    </w:p>
    <w:p>
      <w:pPr>
        <w:pStyle w:val="12"/>
        <w:rPr>
          <w:sz w:val="21"/>
        </w:rPr>
      </w:pPr>
    </w:p>
    <w:p/>
    <w:p/>
    <w:p>
      <w:pPr>
        <w:pStyle w:val="12"/>
        <w:rPr>
          <w:sz w:val="21"/>
        </w:rPr>
      </w:pPr>
    </w:p>
    <w:p>
      <w:pPr>
        <w:rPr>
          <w:sz w:val="21"/>
        </w:rPr>
      </w:pPr>
    </w:p>
    <w:p>
      <w:pPr>
        <w:numPr>
          <w:ilvl w:val="0"/>
          <w:numId w:val="4"/>
        </w:numPr>
        <w:spacing w:before="2"/>
        <w:jc w:val="center"/>
        <w:rPr>
          <w:b/>
          <w:bCs/>
          <w:sz w:val="28"/>
        </w:rPr>
      </w:pPr>
      <w:r>
        <w:rPr>
          <w:rFonts w:hint="eastAsia"/>
          <w:b/>
          <w:bCs/>
          <w:sz w:val="28"/>
        </w:rPr>
        <w:t>项目管理机构</w:t>
      </w:r>
    </w:p>
    <w:p>
      <w:pPr>
        <w:pStyle w:val="2"/>
        <w:ind w:left="880" w:hanging="440"/>
      </w:pPr>
      <w:r>
        <w:rPr>
          <w:rFonts w:hint="eastAsia"/>
          <w:lang w:val="en-US"/>
        </w:rPr>
        <w:t>1.</w:t>
      </w:r>
      <w:r>
        <w:t>项目技术负责人简历表</w:t>
      </w:r>
    </w:p>
    <w:tbl>
      <w:tblPr>
        <w:tblStyle w:val="20"/>
        <w:tblW w:w="9514" w:type="dxa"/>
        <w:tblInd w:w="38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585"/>
        <w:gridCol w:w="1585"/>
        <w:gridCol w:w="1586"/>
        <w:gridCol w:w="1586"/>
        <w:gridCol w:w="1586"/>
        <w:gridCol w:w="158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9514" w:type="dxa"/>
            <w:gridSpan w:val="6"/>
            <w:tcBorders>
              <w:bottom w:val="single" w:color="000000" w:sz="6" w:space="0"/>
            </w:tcBorders>
          </w:tcPr>
          <w:p>
            <w:pPr>
              <w:pStyle w:val="30"/>
              <w:jc w:val="center"/>
              <w:rPr>
                <w:rFonts w:ascii="Times New Roman"/>
                <w:sz w:val="24"/>
              </w:rPr>
            </w:pPr>
            <w:r>
              <w:rPr>
                <w:b/>
                <w:bCs/>
              </w:rPr>
              <w:t>项目技术负责人简历表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bottom w:val="single" w:color="000000" w:sz="6" w:space="0"/>
              <w:right w:val="single" w:color="000000" w:sz="6" w:space="0"/>
            </w:tcBorders>
          </w:tcPr>
          <w:p>
            <w:pPr>
              <w:spacing w:before="45"/>
              <w:ind w:right="61"/>
              <w:jc w:val="center"/>
              <w:rPr>
                <w:sz w:val="21"/>
              </w:rPr>
            </w:pPr>
            <w:r>
              <w:rPr>
                <w:sz w:val="18"/>
                <w:szCs w:val="18"/>
              </w:rPr>
              <w:t>项目技术负责人简历表</w:t>
            </w:r>
            <w:r>
              <w:br w:type="column"/>
            </w:r>
          </w:p>
          <w:p>
            <w:pPr>
              <w:pStyle w:val="30"/>
              <w:ind w:left="281" w:right="280"/>
              <w:jc w:val="center"/>
              <w:rPr>
                <w:sz w:val="24"/>
              </w:rPr>
            </w:pPr>
            <w:r>
              <w:rPr>
                <w:sz w:val="24"/>
              </w:rPr>
              <w:t>姓名</w:t>
            </w:r>
          </w:p>
        </w:tc>
        <w:tc>
          <w:tcPr>
            <w:tcW w:w="1585" w:type="dxa"/>
            <w:tcBorders>
              <w:left w:val="single" w:color="000000" w:sz="6" w:space="0"/>
              <w:bottom w:val="single" w:color="000000" w:sz="6" w:space="0"/>
              <w:right w:val="single" w:color="000000" w:sz="6" w:space="0"/>
            </w:tcBorders>
          </w:tcPr>
          <w:p>
            <w:pPr>
              <w:pStyle w:val="30"/>
              <w:rPr>
                <w:rFonts w:ascii="Times New Roman"/>
                <w:sz w:val="24"/>
              </w:rPr>
            </w:pPr>
          </w:p>
        </w:tc>
        <w:tc>
          <w:tcPr>
            <w:tcW w:w="1586" w:type="dxa"/>
            <w:tcBorders>
              <w:left w:val="single" w:color="000000" w:sz="6" w:space="0"/>
              <w:bottom w:val="single" w:color="000000" w:sz="6" w:space="0"/>
              <w:right w:val="single" w:color="000000" w:sz="6" w:space="0"/>
            </w:tcBorders>
          </w:tcPr>
          <w:p>
            <w:pPr>
              <w:pStyle w:val="30"/>
              <w:spacing w:before="2"/>
              <w:rPr>
                <w:sz w:val="21"/>
              </w:rPr>
            </w:pPr>
          </w:p>
          <w:p>
            <w:pPr>
              <w:pStyle w:val="30"/>
              <w:ind w:left="169" w:right="160"/>
              <w:jc w:val="center"/>
              <w:rPr>
                <w:sz w:val="24"/>
              </w:rPr>
            </w:pPr>
            <w:r>
              <w:rPr>
                <w:sz w:val="24"/>
              </w:rPr>
              <w:t>性别</w:t>
            </w:r>
          </w:p>
        </w:tc>
        <w:tc>
          <w:tcPr>
            <w:tcW w:w="1586" w:type="dxa"/>
            <w:tcBorders>
              <w:left w:val="single" w:color="000000" w:sz="6" w:space="0"/>
              <w:bottom w:val="single" w:color="000000" w:sz="6" w:space="0"/>
              <w:right w:val="single" w:color="000000" w:sz="6" w:space="0"/>
            </w:tcBorders>
          </w:tcPr>
          <w:p>
            <w:pPr>
              <w:pStyle w:val="30"/>
              <w:rPr>
                <w:rFonts w:ascii="Times New Roman"/>
                <w:sz w:val="24"/>
              </w:rPr>
            </w:pPr>
          </w:p>
        </w:tc>
        <w:tc>
          <w:tcPr>
            <w:tcW w:w="1586" w:type="dxa"/>
            <w:tcBorders>
              <w:left w:val="single" w:color="000000" w:sz="6" w:space="0"/>
              <w:bottom w:val="single" w:color="000000" w:sz="6" w:space="0"/>
              <w:right w:val="single" w:color="000000" w:sz="6" w:space="0"/>
            </w:tcBorders>
          </w:tcPr>
          <w:p>
            <w:pPr>
              <w:pStyle w:val="30"/>
              <w:spacing w:before="2"/>
              <w:rPr>
                <w:sz w:val="21"/>
              </w:rPr>
            </w:pPr>
          </w:p>
          <w:p>
            <w:pPr>
              <w:pStyle w:val="30"/>
              <w:ind w:left="170" w:right="160"/>
              <w:jc w:val="center"/>
              <w:rPr>
                <w:sz w:val="24"/>
              </w:rPr>
            </w:pPr>
            <w:r>
              <w:rPr>
                <w:sz w:val="24"/>
              </w:rPr>
              <w:t>年龄</w:t>
            </w:r>
          </w:p>
        </w:tc>
        <w:tc>
          <w:tcPr>
            <w:tcW w:w="1586" w:type="dxa"/>
            <w:tcBorders>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spacing w:before="2"/>
              <w:rPr>
                <w:sz w:val="21"/>
              </w:rPr>
            </w:pPr>
          </w:p>
          <w:p>
            <w:pPr>
              <w:pStyle w:val="30"/>
              <w:ind w:left="281" w:right="280"/>
              <w:jc w:val="center"/>
              <w:rPr>
                <w:sz w:val="24"/>
              </w:rPr>
            </w:pPr>
            <w:r>
              <w:rPr>
                <w:sz w:val="24"/>
              </w:rPr>
              <w:t>职务</w:t>
            </w: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spacing w:before="2"/>
              <w:rPr>
                <w:sz w:val="21"/>
              </w:rPr>
            </w:pPr>
          </w:p>
          <w:p>
            <w:pPr>
              <w:pStyle w:val="30"/>
              <w:ind w:left="169" w:right="160"/>
              <w:jc w:val="center"/>
              <w:rPr>
                <w:sz w:val="24"/>
              </w:rPr>
            </w:pPr>
            <w:r>
              <w:rPr>
                <w:sz w:val="24"/>
              </w:rPr>
              <w:t>职称</w:t>
            </w: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spacing w:before="2"/>
              <w:rPr>
                <w:sz w:val="21"/>
              </w:rPr>
            </w:pPr>
          </w:p>
          <w:p>
            <w:pPr>
              <w:pStyle w:val="30"/>
              <w:ind w:left="170" w:right="160"/>
              <w:jc w:val="center"/>
              <w:rPr>
                <w:sz w:val="24"/>
              </w:rPr>
            </w:pPr>
            <w:r>
              <w:rPr>
                <w:sz w:val="24"/>
              </w:rPr>
              <w:t>学历</w:t>
            </w: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3170" w:type="dxa"/>
            <w:gridSpan w:val="2"/>
            <w:tcBorders>
              <w:top w:val="single" w:color="000000" w:sz="6" w:space="0"/>
              <w:bottom w:val="single" w:color="000000" w:sz="6" w:space="0"/>
              <w:right w:val="single" w:color="000000" w:sz="6" w:space="0"/>
            </w:tcBorders>
          </w:tcPr>
          <w:p>
            <w:pPr>
              <w:pStyle w:val="30"/>
              <w:spacing w:before="2"/>
              <w:rPr>
                <w:sz w:val="21"/>
              </w:rPr>
            </w:pPr>
          </w:p>
          <w:p>
            <w:pPr>
              <w:pStyle w:val="30"/>
              <w:ind w:left="854"/>
              <w:rPr>
                <w:sz w:val="24"/>
              </w:rPr>
            </w:pPr>
            <w:r>
              <w:rPr>
                <w:sz w:val="24"/>
              </w:rPr>
              <w:t>参加工作时间</w:t>
            </w: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3172" w:type="dxa"/>
            <w:gridSpan w:val="2"/>
            <w:tcBorders>
              <w:top w:val="single" w:color="000000" w:sz="6" w:space="0"/>
              <w:left w:val="single" w:color="000000" w:sz="6" w:space="0"/>
              <w:bottom w:val="single" w:color="000000" w:sz="6" w:space="0"/>
              <w:right w:val="single" w:color="000000" w:sz="6" w:space="0"/>
            </w:tcBorders>
          </w:tcPr>
          <w:p>
            <w:pPr>
              <w:pStyle w:val="30"/>
              <w:spacing w:before="2"/>
              <w:rPr>
                <w:sz w:val="21"/>
              </w:rPr>
            </w:pPr>
          </w:p>
          <w:p>
            <w:pPr>
              <w:pStyle w:val="30"/>
              <w:ind w:left="502"/>
              <w:rPr>
                <w:sz w:val="24"/>
              </w:rPr>
            </w:pPr>
            <w:r>
              <w:rPr>
                <w:sz w:val="24"/>
              </w:rPr>
              <w:t>担任技术负责人年限</w:t>
            </w: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3170" w:type="dxa"/>
            <w:gridSpan w:val="2"/>
            <w:tcBorders>
              <w:top w:val="single" w:color="000000" w:sz="6" w:space="0"/>
              <w:bottom w:val="single" w:color="000000" w:sz="6" w:space="0"/>
              <w:right w:val="single" w:color="000000" w:sz="6" w:space="0"/>
            </w:tcBorders>
          </w:tcPr>
          <w:p>
            <w:pPr>
              <w:pStyle w:val="30"/>
              <w:ind w:left="98" w:right="-29"/>
              <w:jc w:val="center"/>
              <w:rPr>
                <w:sz w:val="24"/>
              </w:rPr>
            </w:pPr>
            <w:r>
              <w:rPr>
                <w:spacing w:val="-7"/>
                <w:sz w:val="24"/>
              </w:rPr>
              <w:t>建造师资格证书</w:t>
            </w:r>
            <w:r>
              <w:rPr>
                <w:sz w:val="24"/>
              </w:rPr>
              <w:t>（职称证书</w:t>
            </w:r>
            <w:r>
              <w:rPr>
                <w:spacing w:val="-16"/>
                <w:sz w:val="24"/>
              </w:rPr>
              <w:t>）</w:t>
            </w:r>
          </w:p>
          <w:p>
            <w:pPr>
              <w:pStyle w:val="30"/>
              <w:spacing w:before="5"/>
              <w:ind w:left="98" w:right="98"/>
              <w:jc w:val="center"/>
              <w:rPr>
                <w:sz w:val="24"/>
              </w:rPr>
            </w:pPr>
            <w:r>
              <w:rPr>
                <w:sz w:val="24"/>
              </w:rPr>
              <w:t>编号</w:t>
            </w:r>
          </w:p>
        </w:tc>
        <w:tc>
          <w:tcPr>
            <w:tcW w:w="6344" w:type="dxa"/>
            <w:gridSpan w:val="4"/>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9514" w:type="dxa"/>
            <w:gridSpan w:val="6"/>
            <w:tcBorders>
              <w:top w:val="single" w:color="000000" w:sz="6" w:space="0"/>
              <w:bottom w:val="single" w:color="000000" w:sz="6" w:space="0"/>
            </w:tcBorders>
          </w:tcPr>
          <w:p>
            <w:pPr>
              <w:pStyle w:val="30"/>
              <w:spacing w:before="2"/>
              <w:rPr>
                <w:sz w:val="21"/>
              </w:rPr>
            </w:pPr>
          </w:p>
          <w:p>
            <w:pPr>
              <w:pStyle w:val="30"/>
              <w:spacing w:before="1"/>
              <w:ind w:left="3406" w:right="3397"/>
              <w:jc w:val="center"/>
              <w:rPr>
                <w:sz w:val="24"/>
              </w:rPr>
            </w:pPr>
            <w:r>
              <w:rPr>
                <w:sz w:val="24"/>
              </w:rPr>
              <w:t>在建和已完工程项目情况</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spacing w:before="3"/>
              <w:rPr>
                <w:sz w:val="21"/>
              </w:rPr>
            </w:pPr>
          </w:p>
          <w:p>
            <w:pPr>
              <w:pStyle w:val="30"/>
              <w:ind w:left="281" w:right="280"/>
              <w:jc w:val="center"/>
              <w:rPr>
                <w:sz w:val="24"/>
              </w:rPr>
            </w:pPr>
            <w:r>
              <w:rPr>
                <w:sz w:val="24"/>
              </w:rPr>
              <w:t>建设单位</w:t>
            </w:r>
          </w:p>
        </w:tc>
        <w:tc>
          <w:tcPr>
            <w:tcW w:w="1585" w:type="dxa"/>
            <w:tcBorders>
              <w:top w:val="single" w:color="000000" w:sz="6" w:space="0"/>
              <w:left w:val="single" w:color="000000" w:sz="6" w:space="0"/>
              <w:bottom w:val="single" w:color="000000" w:sz="6" w:space="0"/>
              <w:right w:val="single" w:color="000000" w:sz="6" w:space="0"/>
            </w:tcBorders>
          </w:tcPr>
          <w:p>
            <w:pPr>
              <w:pStyle w:val="30"/>
              <w:spacing w:before="3"/>
              <w:rPr>
                <w:sz w:val="21"/>
              </w:rPr>
            </w:pPr>
          </w:p>
          <w:p>
            <w:pPr>
              <w:pStyle w:val="30"/>
              <w:ind w:left="308"/>
              <w:rPr>
                <w:sz w:val="24"/>
              </w:rPr>
            </w:pPr>
            <w:r>
              <w:rPr>
                <w:sz w:val="24"/>
              </w:rPr>
              <w:t>项目名称</w:t>
            </w:r>
          </w:p>
        </w:tc>
        <w:tc>
          <w:tcPr>
            <w:tcW w:w="1586" w:type="dxa"/>
            <w:tcBorders>
              <w:top w:val="single" w:color="000000" w:sz="6" w:space="0"/>
              <w:left w:val="single" w:color="000000" w:sz="6" w:space="0"/>
              <w:bottom w:val="single" w:color="000000" w:sz="6" w:space="0"/>
              <w:right w:val="single" w:color="000000" w:sz="6" w:space="0"/>
            </w:tcBorders>
          </w:tcPr>
          <w:p>
            <w:pPr>
              <w:pStyle w:val="30"/>
              <w:spacing w:before="3"/>
              <w:rPr>
                <w:sz w:val="21"/>
              </w:rPr>
            </w:pPr>
          </w:p>
          <w:p>
            <w:pPr>
              <w:pStyle w:val="30"/>
              <w:ind w:left="169" w:right="160"/>
              <w:jc w:val="center"/>
              <w:rPr>
                <w:sz w:val="24"/>
              </w:rPr>
            </w:pPr>
            <w:r>
              <w:rPr>
                <w:sz w:val="24"/>
              </w:rPr>
              <w:t>建设规模</w:t>
            </w:r>
          </w:p>
        </w:tc>
        <w:tc>
          <w:tcPr>
            <w:tcW w:w="1586" w:type="dxa"/>
            <w:tcBorders>
              <w:top w:val="single" w:color="000000" w:sz="6" w:space="0"/>
              <w:left w:val="single" w:color="000000" w:sz="6" w:space="0"/>
              <w:bottom w:val="single" w:color="000000" w:sz="6" w:space="0"/>
              <w:right w:val="single" w:color="000000" w:sz="6" w:space="0"/>
            </w:tcBorders>
          </w:tcPr>
          <w:p>
            <w:pPr>
              <w:pStyle w:val="30"/>
              <w:spacing w:before="3"/>
              <w:rPr>
                <w:sz w:val="21"/>
              </w:rPr>
            </w:pPr>
          </w:p>
          <w:p>
            <w:pPr>
              <w:pStyle w:val="30"/>
              <w:ind w:left="104"/>
              <w:rPr>
                <w:sz w:val="24"/>
              </w:rPr>
            </w:pPr>
            <w:r>
              <w:rPr>
                <w:sz w:val="24"/>
              </w:rPr>
              <w:t>开、竣工日期</w:t>
            </w:r>
          </w:p>
        </w:tc>
        <w:tc>
          <w:tcPr>
            <w:tcW w:w="1586" w:type="dxa"/>
            <w:tcBorders>
              <w:top w:val="single" w:color="000000" w:sz="6" w:space="0"/>
              <w:left w:val="single" w:color="000000" w:sz="6" w:space="0"/>
              <w:bottom w:val="single" w:color="000000" w:sz="6" w:space="0"/>
              <w:right w:val="single" w:color="000000" w:sz="6" w:space="0"/>
            </w:tcBorders>
          </w:tcPr>
          <w:p>
            <w:pPr>
              <w:pStyle w:val="30"/>
              <w:spacing w:before="3"/>
              <w:rPr>
                <w:sz w:val="21"/>
              </w:rPr>
            </w:pPr>
          </w:p>
          <w:p>
            <w:pPr>
              <w:pStyle w:val="30"/>
              <w:ind w:left="170" w:right="160"/>
              <w:jc w:val="center"/>
              <w:rPr>
                <w:sz w:val="24"/>
              </w:rPr>
            </w:pPr>
            <w:r>
              <w:rPr>
                <w:sz w:val="24"/>
              </w:rPr>
              <w:t>在建或已完</w:t>
            </w:r>
          </w:p>
        </w:tc>
        <w:tc>
          <w:tcPr>
            <w:tcW w:w="1586" w:type="dxa"/>
            <w:tcBorders>
              <w:top w:val="single" w:color="000000" w:sz="6" w:space="0"/>
              <w:left w:val="single" w:color="000000" w:sz="6" w:space="0"/>
              <w:bottom w:val="single" w:color="000000" w:sz="6" w:space="0"/>
            </w:tcBorders>
          </w:tcPr>
          <w:p>
            <w:pPr>
              <w:pStyle w:val="30"/>
              <w:spacing w:before="3"/>
              <w:rPr>
                <w:sz w:val="21"/>
              </w:rPr>
            </w:pPr>
          </w:p>
          <w:p>
            <w:pPr>
              <w:pStyle w:val="30"/>
              <w:ind w:left="311"/>
              <w:rPr>
                <w:sz w:val="24"/>
              </w:rPr>
            </w:pPr>
            <w:r>
              <w:rPr>
                <w:sz w:val="24"/>
              </w:rPr>
              <w:t>工程质量</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40" w:hRule="atLeast"/>
        </w:trPr>
        <w:tc>
          <w:tcPr>
            <w:tcW w:w="1585" w:type="dxa"/>
            <w:tcBorders>
              <w:top w:val="single" w:color="000000" w:sz="6" w:space="0"/>
              <w:bottom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bottom w:val="single" w:color="000000" w:sz="6" w:space="0"/>
            </w:tcBorders>
          </w:tcPr>
          <w:p>
            <w:pPr>
              <w:pStyle w:val="30"/>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9" w:hRule="atLeast"/>
        </w:trPr>
        <w:tc>
          <w:tcPr>
            <w:tcW w:w="1585" w:type="dxa"/>
            <w:tcBorders>
              <w:top w:val="single" w:color="000000" w:sz="6" w:space="0"/>
              <w:right w:val="single" w:color="000000" w:sz="6" w:space="0"/>
            </w:tcBorders>
          </w:tcPr>
          <w:p>
            <w:pPr>
              <w:pStyle w:val="30"/>
              <w:rPr>
                <w:rFonts w:ascii="Times New Roman"/>
                <w:sz w:val="24"/>
              </w:rPr>
            </w:pPr>
          </w:p>
        </w:tc>
        <w:tc>
          <w:tcPr>
            <w:tcW w:w="1585" w:type="dxa"/>
            <w:tcBorders>
              <w:top w:val="single" w:color="000000" w:sz="6" w:space="0"/>
              <w:left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right w:val="single" w:color="000000" w:sz="6" w:space="0"/>
            </w:tcBorders>
          </w:tcPr>
          <w:p>
            <w:pPr>
              <w:pStyle w:val="30"/>
              <w:rPr>
                <w:rFonts w:ascii="Times New Roman"/>
                <w:sz w:val="24"/>
              </w:rPr>
            </w:pPr>
          </w:p>
        </w:tc>
        <w:tc>
          <w:tcPr>
            <w:tcW w:w="1586" w:type="dxa"/>
            <w:tcBorders>
              <w:top w:val="single" w:color="000000" w:sz="6" w:space="0"/>
              <w:left w:val="single" w:color="000000" w:sz="6" w:space="0"/>
            </w:tcBorders>
          </w:tcPr>
          <w:p>
            <w:pPr>
              <w:pStyle w:val="30"/>
              <w:rPr>
                <w:rFonts w:ascii="Times New Roman"/>
                <w:sz w:val="24"/>
              </w:rPr>
            </w:pPr>
          </w:p>
        </w:tc>
      </w:tr>
    </w:tbl>
    <w:p>
      <w:pPr>
        <w:spacing w:before="45"/>
        <w:ind w:right="61"/>
        <w:jc w:val="center"/>
        <w:rPr>
          <w:b/>
          <w:sz w:val="28"/>
        </w:rPr>
      </w:pPr>
    </w:p>
    <w:p>
      <w:pPr>
        <w:widowControl/>
      </w:pPr>
      <w:r>
        <w:rPr>
          <w:rFonts w:hint="eastAsia"/>
          <w:color w:val="000000"/>
          <w:sz w:val="24"/>
          <w:szCs w:val="24"/>
          <w:lang w:val="en-US"/>
        </w:rPr>
        <w:t>注：后附项目经理身份证、资格证书、学历证书等复印件加盖公章。</w:t>
      </w:r>
    </w:p>
    <w:p>
      <w:pPr>
        <w:spacing w:before="45"/>
        <w:ind w:right="61"/>
        <w:jc w:val="center"/>
        <w:rPr>
          <w:b/>
          <w:sz w:val="28"/>
        </w:rPr>
      </w:pPr>
    </w:p>
    <w:p>
      <w:pPr>
        <w:pStyle w:val="2"/>
        <w:ind w:left="1002" w:hanging="562"/>
        <w:rPr>
          <w:b/>
          <w:sz w:val="28"/>
        </w:rPr>
      </w:pPr>
    </w:p>
    <w:p>
      <w:pPr>
        <w:rPr>
          <w:b/>
          <w:sz w:val="28"/>
        </w:rPr>
      </w:pPr>
    </w:p>
    <w:p>
      <w:pPr>
        <w:pStyle w:val="2"/>
        <w:ind w:left="1002" w:hanging="562"/>
        <w:rPr>
          <w:b/>
          <w:sz w:val="28"/>
        </w:rPr>
      </w:pPr>
    </w:p>
    <w:p>
      <w:pPr>
        <w:pStyle w:val="2"/>
        <w:ind w:left="0" w:leftChars="0" w:firstLine="0" w:firstLineChars="0"/>
        <w:rPr>
          <w:lang w:val="en-US"/>
        </w:rPr>
      </w:pPr>
      <w:r>
        <w:rPr>
          <w:rFonts w:hint="eastAsia"/>
          <w:lang w:val="en-US"/>
        </w:rPr>
        <w:t>2.拟投入本项目技术人员一览表</w:t>
      </w:r>
    </w:p>
    <w:tbl>
      <w:tblPr>
        <w:tblStyle w:val="20"/>
        <w:tblW w:w="996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2400"/>
      </w:tblGrid>
      <w:tr>
        <w:tblPrEx>
          <w:tblCellMar>
            <w:top w:w="0" w:type="dxa"/>
            <w:left w:w="0" w:type="dxa"/>
            <w:bottom w:w="0" w:type="dxa"/>
            <w:right w:w="0" w:type="dxa"/>
          </w:tblCellMar>
        </w:tblPrEx>
        <w:trPr>
          <w:trHeight w:val="375" w:hRule="atLeast"/>
        </w:trPr>
        <w:tc>
          <w:tcPr>
            <w:tcW w:w="9960"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b/>
                <w:color w:val="000000"/>
                <w:sz w:val="28"/>
                <w:szCs w:val="28"/>
              </w:rPr>
            </w:pPr>
            <w:r>
              <w:rPr>
                <w:rFonts w:hint="eastAsia"/>
                <w:b/>
                <w:color w:val="000000"/>
                <w:sz w:val="28"/>
                <w:szCs w:val="28"/>
                <w:lang w:val="en-US"/>
              </w:rPr>
              <w:t>拟投入本项目技术人员一览表</w:t>
            </w:r>
          </w:p>
        </w:tc>
      </w:tr>
      <w:tr>
        <w:tblPrEx>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年龄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专业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职称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在本项目拟任职务</w:t>
            </w: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r>
        <w:tblPrEx>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 w:val="24"/>
                <w:szCs w:val="24"/>
              </w:rPr>
            </w:pPr>
          </w:p>
        </w:tc>
      </w:tr>
    </w:tbl>
    <w:p>
      <w:pPr>
        <w:pStyle w:val="2"/>
        <w:ind w:left="1002" w:hanging="562"/>
        <w:rPr>
          <w:b/>
          <w:sz w:val="28"/>
        </w:rPr>
      </w:pPr>
    </w:p>
    <w:p>
      <w:pPr>
        <w:widowControl/>
      </w:pPr>
      <w:r>
        <w:rPr>
          <w:rFonts w:hint="eastAsia"/>
          <w:b/>
          <w:color w:val="000000"/>
          <w:sz w:val="24"/>
          <w:szCs w:val="24"/>
          <w:lang w:val="en-US"/>
        </w:rPr>
        <w:t>注</w:t>
      </w:r>
      <w:r>
        <w:rPr>
          <w:rFonts w:hint="eastAsia"/>
          <w:color w:val="000000"/>
          <w:sz w:val="24"/>
          <w:szCs w:val="24"/>
          <w:lang w:val="en-US"/>
        </w:rPr>
        <w:t>：此表可续，后附人员资格证书。</w:t>
      </w: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pStyle w:val="2"/>
        <w:ind w:left="0" w:leftChars="0" w:firstLine="0" w:firstLineChars="0"/>
        <w:rPr>
          <w:lang w:val="en-US"/>
        </w:rPr>
      </w:pPr>
      <w:r>
        <w:rPr>
          <w:rFonts w:hint="eastAsia"/>
          <w:lang w:val="en-US"/>
        </w:rPr>
        <w:t>3.拟投入本项目软、硬件设备一览表</w:t>
      </w:r>
    </w:p>
    <w:p>
      <w:pPr>
        <w:rPr>
          <w:b/>
          <w:sz w:val="28"/>
        </w:rPr>
      </w:pPr>
    </w:p>
    <w:tbl>
      <w:tblPr>
        <w:tblStyle w:val="20"/>
        <w:tblW w:w="8287" w:type="dxa"/>
        <w:tblInd w:w="0" w:type="dxa"/>
        <w:tblLayout w:type="fixed"/>
        <w:tblCellMar>
          <w:top w:w="0" w:type="dxa"/>
          <w:left w:w="0" w:type="dxa"/>
          <w:bottom w:w="0" w:type="dxa"/>
          <w:right w:w="0" w:type="dxa"/>
        </w:tblCellMar>
      </w:tblPr>
      <w:tblGrid>
        <w:gridCol w:w="1887"/>
        <w:gridCol w:w="2503"/>
        <w:gridCol w:w="1581"/>
        <w:gridCol w:w="2316"/>
      </w:tblGrid>
      <w:tr>
        <w:tblPrEx>
          <w:tblCellMar>
            <w:top w:w="0" w:type="dxa"/>
            <w:left w:w="0" w:type="dxa"/>
            <w:bottom w:w="0" w:type="dxa"/>
            <w:right w:w="0" w:type="dxa"/>
          </w:tblCellMar>
        </w:tblPrEx>
        <w:trPr>
          <w:trHeight w:val="285" w:hRule="atLeast"/>
        </w:trPr>
        <w:tc>
          <w:tcPr>
            <w:tcW w:w="82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r>
              <w:rPr>
                <w:rFonts w:hint="eastAsia"/>
                <w:b/>
                <w:bCs/>
                <w:lang w:val="en-US"/>
              </w:rPr>
              <w:t>拟投入本项目软、硬件设备一览表</w:t>
            </w: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仪器设备名称</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仪器设备品牌型号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数 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备注</w:t>
            </w: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软件名称</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来 源</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数 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color w:val="000000"/>
                <w:sz w:val="24"/>
                <w:szCs w:val="24"/>
              </w:rPr>
            </w:pPr>
            <w:r>
              <w:rPr>
                <w:rFonts w:hint="eastAsia"/>
                <w:color w:val="000000"/>
                <w:sz w:val="24"/>
                <w:szCs w:val="24"/>
                <w:lang w:val="en-US"/>
              </w:rPr>
              <w:t>备 注</w:t>
            </w: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285"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4"/>
                <w:szCs w:val="24"/>
              </w:rPr>
            </w:pPr>
          </w:p>
        </w:tc>
      </w:tr>
    </w:tbl>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Pr>
        <w:rPr>
          <w:b/>
          <w:sz w:val="28"/>
        </w:rPr>
      </w:pPr>
    </w:p>
    <w:p>
      <w:pPr>
        <w:pStyle w:val="2"/>
        <w:ind w:left="1002" w:hanging="562"/>
        <w:rPr>
          <w:b/>
          <w:sz w:val="28"/>
        </w:rPr>
      </w:pPr>
    </w:p>
    <w:p/>
    <w:p>
      <w:pPr>
        <w:rPr>
          <w:b/>
          <w:sz w:val="28"/>
        </w:rPr>
      </w:pPr>
    </w:p>
    <w:p>
      <w:pPr>
        <w:pStyle w:val="2"/>
        <w:ind w:left="1002" w:hanging="562"/>
        <w:rPr>
          <w:b/>
          <w:sz w:val="28"/>
        </w:rPr>
      </w:pPr>
    </w:p>
    <w:p>
      <w:pPr>
        <w:rPr>
          <w:b/>
          <w:sz w:val="28"/>
        </w:rPr>
      </w:pPr>
    </w:p>
    <w:p>
      <w:pPr>
        <w:numPr>
          <w:ilvl w:val="0"/>
          <w:numId w:val="4"/>
        </w:numPr>
        <w:spacing w:before="2"/>
        <w:jc w:val="center"/>
        <w:rPr>
          <w:b/>
          <w:bCs/>
          <w:sz w:val="28"/>
          <w:lang w:val="en-US"/>
        </w:rPr>
      </w:pPr>
      <w:r>
        <w:rPr>
          <w:rFonts w:hint="eastAsia"/>
          <w:b/>
          <w:bCs/>
          <w:sz w:val="28"/>
          <w:lang w:val="en-US"/>
        </w:rPr>
        <w:t>项目实施方案</w:t>
      </w:r>
    </w:p>
    <w:p>
      <w:pPr>
        <w:pStyle w:val="2"/>
        <w:ind w:left="0" w:leftChars="0" w:firstLine="0" w:firstLineChars="0"/>
      </w:pPr>
    </w:p>
    <w:p>
      <w:pPr>
        <w:widowControl/>
      </w:pPr>
      <w:r>
        <w:rPr>
          <w:rFonts w:hint="eastAsia"/>
          <w:b/>
          <w:color w:val="000000"/>
          <w:sz w:val="24"/>
          <w:szCs w:val="24"/>
          <w:lang w:val="en-US"/>
        </w:rPr>
        <w:t xml:space="preserve">（参照技术部分评审标准，投标人自行编写，格式自拟） </w:t>
      </w:r>
    </w:p>
    <w:p>
      <w:pPr>
        <w:widowControl/>
      </w:pPr>
      <w:r>
        <w:rPr>
          <w:rFonts w:hint="eastAsia"/>
          <w:color w:val="000000"/>
          <w:sz w:val="24"/>
          <w:szCs w:val="24"/>
          <w:lang w:val="en-US"/>
        </w:rPr>
        <w:t xml:space="preserve">技术部分对投标情况说明应包括，但不局限于： </w:t>
      </w:r>
    </w:p>
    <w:p>
      <w:pPr>
        <w:widowControl/>
      </w:pPr>
      <w:r>
        <w:rPr>
          <w:rFonts w:hint="eastAsia"/>
          <w:color w:val="000000"/>
          <w:sz w:val="24"/>
          <w:szCs w:val="24"/>
          <w:lang w:val="en-US"/>
        </w:rPr>
        <w:t xml:space="preserve">1、投标人简介 </w:t>
      </w:r>
    </w:p>
    <w:p>
      <w:pPr>
        <w:widowControl/>
      </w:pPr>
      <w:r>
        <w:rPr>
          <w:rFonts w:hint="eastAsia"/>
          <w:color w:val="000000"/>
          <w:sz w:val="24"/>
          <w:szCs w:val="24"/>
          <w:lang w:val="en-US"/>
        </w:rPr>
        <w:t xml:space="preserve">2、实施方案（工作技术路线、工作思路、内容重点 、成果形式） </w:t>
      </w:r>
    </w:p>
    <w:p>
      <w:pPr>
        <w:widowControl/>
      </w:pPr>
      <w:r>
        <w:rPr>
          <w:rFonts w:hint="eastAsia"/>
          <w:color w:val="000000"/>
          <w:sz w:val="24"/>
          <w:szCs w:val="24"/>
          <w:lang w:val="en-US"/>
        </w:rPr>
        <w:t xml:space="preserve">3、项目进度计划及保证措施 </w:t>
      </w:r>
    </w:p>
    <w:p>
      <w:pPr>
        <w:widowControl/>
      </w:pPr>
      <w:r>
        <w:rPr>
          <w:rFonts w:hint="eastAsia"/>
          <w:color w:val="000000"/>
          <w:sz w:val="24"/>
          <w:szCs w:val="24"/>
          <w:lang w:val="en-US"/>
        </w:rPr>
        <w:t xml:space="preserve">4、服务承诺及服务保证措施 </w:t>
      </w:r>
    </w:p>
    <w:p>
      <w:pPr>
        <w:widowControl/>
      </w:pPr>
      <w:r>
        <w:rPr>
          <w:rFonts w:hint="eastAsia"/>
          <w:color w:val="000000"/>
          <w:sz w:val="24"/>
          <w:szCs w:val="24"/>
          <w:lang w:val="en-US"/>
        </w:rPr>
        <w:t xml:space="preserve">5、项目管理机构人员配备 </w:t>
      </w:r>
    </w:p>
    <w:p>
      <w:pPr>
        <w:rPr>
          <w:b/>
          <w:sz w:val="28"/>
        </w:rPr>
      </w:pPr>
    </w:p>
    <w:p>
      <w:pPr>
        <w:pStyle w:val="2"/>
        <w:ind w:left="1002" w:hanging="562"/>
        <w:rPr>
          <w:b/>
          <w:sz w:val="28"/>
        </w:rPr>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Pr>
        <w:pStyle w:val="2"/>
        <w:ind w:left="880" w:hanging="440"/>
      </w:pPr>
    </w:p>
    <w:p/>
    <w:p/>
    <w:p>
      <w:pPr>
        <w:pStyle w:val="2"/>
        <w:ind w:left="880" w:hanging="440"/>
      </w:pPr>
    </w:p>
    <w:p>
      <w:pPr>
        <w:spacing w:before="45"/>
        <w:ind w:right="61"/>
        <w:jc w:val="center"/>
        <w:rPr>
          <w:b/>
          <w:sz w:val="28"/>
        </w:rPr>
      </w:pPr>
      <w:r>
        <w:rPr>
          <w:rFonts w:hint="eastAsia"/>
          <w:b/>
          <w:sz w:val="28"/>
        </w:rPr>
        <w:t>七</w:t>
      </w:r>
      <w:r>
        <w:rPr>
          <w:b/>
          <w:sz w:val="28"/>
        </w:rPr>
        <w:t>、资格审查要求提供的资料</w:t>
      </w:r>
    </w:p>
    <w:p>
      <w:pPr>
        <w:jc w:val="center"/>
        <w:rPr>
          <w:sz w:val="28"/>
        </w:rPr>
      </w:pPr>
    </w:p>
    <w:p>
      <w:pPr>
        <w:widowControl/>
        <w:numPr>
          <w:ilvl w:val="0"/>
          <w:numId w:val="5"/>
        </w:numPr>
        <w:rPr>
          <w:b/>
          <w:color w:val="000000"/>
          <w:sz w:val="24"/>
          <w:szCs w:val="24"/>
          <w:lang w:val="en-US"/>
        </w:rPr>
      </w:pPr>
      <w:r>
        <w:rPr>
          <w:rFonts w:hint="eastAsia"/>
          <w:b/>
          <w:color w:val="000000"/>
          <w:sz w:val="24"/>
          <w:szCs w:val="24"/>
          <w:lang w:val="en-US"/>
        </w:rPr>
        <w:t xml:space="preserve">营业执照 </w:t>
      </w:r>
    </w:p>
    <w:p>
      <w:pPr>
        <w:widowControl/>
        <w:numPr>
          <w:ilvl w:val="0"/>
          <w:numId w:val="5"/>
        </w:numPr>
        <w:rPr>
          <w:b/>
          <w:color w:val="000000"/>
          <w:sz w:val="24"/>
          <w:szCs w:val="24"/>
          <w:lang w:val="en-US"/>
        </w:rPr>
      </w:pPr>
      <w:r>
        <w:rPr>
          <w:rFonts w:hint="eastAsia"/>
          <w:b/>
          <w:color w:val="000000"/>
          <w:sz w:val="24"/>
          <w:szCs w:val="24"/>
          <w:lang w:val="en-US"/>
        </w:rPr>
        <w:t>企业基本账户的开户</w:t>
      </w:r>
      <w:r>
        <w:rPr>
          <w:rFonts w:hint="eastAsia"/>
          <w:b/>
          <w:color w:val="000000"/>
          <w:sz w:val="24"/>
          <w:szCs w:val="24"/>
          <w:lang w:val="en-US" w:eastAsia="zh-CN"/>
        </w:rPr>
        <w:t>信息</w:t>
      </w:r>
    </w:p>
    <w:p>
      <w:pPr>
        <w:widowControl/>
      </w:pPr>
      <w:r>
        <w:rPr>
          <w:rFonts w:hint="eastAsia"/>
          <w:b/>
          <w:color w:val="000000"/>
          <w:sz w:val="24"/>
          <w:szCs w:val="24"/>
          <w:lang w:val="en-US"/>
        </w:rPr>
        <w:t xml:space="preserve">3、企业信用信息公示报告 </w:t>
      </w:r>
    </w:p>
    <w:p>
      <w:pPr>
        <w:widowControl/>
        <w:rPr>
          <w:b/>
          <w:color w:val="000000"/>
          <w:sz w:val="24"/>
          <w:szCs w:val="24"/>
          <w:lang w:val="en-US"/>
        </w:rPr>
      </w:pPr>
      <w:r>
        <w:rPr>
          <w:rFonts w:hint="eastAsia"/>
          <w:b/>
          <w:color w:val="000000"/>
          <w:sz w:val="24"/>
          <w:szCs w:val="24"/>
          <w:lang w:val="en-US"/>
        </w:rPr>
        <w:t>4、“信用中国”网站查询截图（加盖投标人公章）</w:t>
      </w:r>
    </w:p>
    <w:p>
      <w:pPr>
        <w:widowControl/>
      </w:pPr>
      <w:r>
        <w:rPr>
          <w:rFonts w:hint="eastAsia"/>
          <w:b/>
          <w:color w:val="000000"/>
          <w:sz w:val="24"/>
          <w:szCs w:val="24"/>
          <w:lang w:val="en-US"/>
        </w:rPr>
        <w:t xml:space="preserve">5、投标人符合《中华人民共和国政府采购法》第二十二条规定的承诺书（加盖投 </w:t>
      </w:r>
    </w:p>
    <w:p>
      <w:pPr>
        <w:spacing w:before="45"/>
        <w:ind w:right="63"/>
        <w:jc w:val="both"/>
        <w:rPr>
          <w:b/>
          <w:color w:val="000000"/>
          <w:sz w:val="24"/>
          <w:szCs w:val="24"/>
          <w:lang w:val="en-US"/>
        </w:rPr>
      </w:pPr>
      <w:r>
        <w:rPr>
          <w:rFonts w:hint="eastAsia"/>
          <w:b/>
          <w:color w:val="000000"/>
          <w:sz w:val="24"/>
          <w:szCs w:val="24"/>
          <w:lang w:val="en-US"/>
        </w:rPr>
        <w:t>标人公章）</w:t>
      </w: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color w:val="000000"/>
          <w:sz w:val="24"/>
          <w:szCs w:val="24"/>
          <w:lang w:val="en-US"/>
        </w:rPr>
      </w:pPr>
    </w:p>
    <w:p>
      <w:pPr>
        <w:spacing w:before="45"/>
        <w:ind w:right="63"/>
        <w:jc w:val="center"/>
        <w:rPr>
          <w:b/>
          <w:sz w:val="28"/>
        </w:rPr>
      </w:pPr>
      <w:r>
        <w:rPr>
          <w:rFonts w:hint="eastAsia"/>
          <w:b/>
          <w:sz w:val="28"/>
        </w:rPr>
        <w:t>八</w:t>
      </w:r>
      <w:r>
        <w:rPr>
          <w:b/>
          <w:sz w:val="28"/>
        </w:rPr>
        <w:t>、招标文件要求投标人提交的其他投标资料</w:t>
      </w:r>
    </w:p>
    <w:p>
      <w:pPr>
        <w:jc w:val="center"/>
        <w:rPr>
          <w:sz w:val="28"/>
        </w:rPr>
        <w:sectPr>
          <w:footerReference r:id="rId6" w:type="default"/>
          <w:pgSz w:w="11910" w:h="16840"/>
          <w:pgMar w:top="1460" w:right="720" w:bottom="1180" w:left="940" w:header="0" w:footer="993" w:gutter="0"/>
          <w:cols w:space="720" w:num="1"/>
        </w:sectPr>
      </w:pPr>
    </w:p>
    <w:p>
      <w:pPr>
        <w:pStyle w:val="11"/>
        <w:rPr>
          <w:b/>
          <w:sz w:val="20"/>
        </w:rPr>
      </w:pPr>
    </w:p>
    <w:p>
      <w:pPr>
        <w:pStyle w:val="11"/>
        <w:rPr>
          <w:sz w:val="20"/>
        </w:rPr>
      </w:pPr>
      <w:bookmarkStart w:id="25" w:name="第三章__投标文件商务部分格式"/>
      <w:bookmarkEnd w:id="25"/>
    </w:p>
    <w:p>
      <w:pPr>
        <w:pStyle w:val="11"/>
        <w:rPr>
          <w:sz w:val="20"/>
        </w:rPr>
      </w:pPr>
    </w:p>
    <w:p>
      <w:pPr>
        <w:pStyle w:val="11"/>
        <w:rPr>
          <w:sz w:val="20"/>
        </w:rPr>
      </w:pPr>
    </w:p>
    <w:p>
      <w:pPr>
        <w:pStyle w:val="1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Pr>
        <w:rPr>
          <w:sz w:val="20"/>
        </w:rPr>
      </w:pPr>
    </w:p>
    <w:p>
      <w:pPr>
        <w:pStyle w:val="2"/>
        <w:rPr>
          <w:sz w:val="20"/>
        </w:rPr>
      </w:pPr>
    </w:p>
    <w:p/>
    <w:p>
      <w:pPr>
        <w:pStyle w:val="11"/>
        <w:spacing w:before="5"/>
        <w:rPr>
          <w:sz w:val="23"/>
        </w:rPr>
      </w:pPr>
    </w:p>
    <w:p>
      <w:pPr>
        <w:tabs>
          <w:tab w:val="left" w:pos="7836"/>
          <w:tab w:val="left" w:pos="8638"/>
        </w:tabs>
        <w:spacing w:before="1"/>
        <w:ind w:left="7037"/>
        <w:rPr>
          <w:sz w:val="32"/>
        </w:rPr>
      </w:pPr>
    </w:p>
    <w:p>
      <w:pPr>
        <w:pStyle w:val="2"/>
        <w:rPr>
          <w:sz w:val="32"/>
        </w:rPr>
      </w:pPr>
    </w:p>
    <w:p>
      <w:pPr>
        <w:widowControl/>
        <w:topLinePunct/>
        <w:spacing w:line="460" w:lineRule="exact"/>
        <w:jc w:val="center"/>
        <w:rPr>
          <w:rFonts w:hint="eastAsia" w:ascii="宋体" w:hAnsi="宋体" w:cs="宋体"/>
          <w:b/>
          <w:sz w:val="44"/>
        </w:rPr>
      </w:pPr>
      <w:r>
        <w:rPr>
          <w:rFonts w:hint="eastAsia" w:ascii="宋体" w:hAnsi="宋体" w:cs="宋体"/>
          <w:b/>
          <w:sz w:val="44"/>
        </w:rPr>
        <w:t>磋商最终报价表</w:t>
      </w:r>
    </w:p>
    <w:p>
      <w:pPr>
        <w:widowControl/>
        <w:topLinePunct/>
        <w:spacing w:line="460" w:lineRule="exact"/>
        <w:rPr>
          <w:rFonts w:hint="eastAsia" w:ascii="宋体" w:hAnsi="宋体" w:cs="宋体"/>
          <w:sz w:val="24"/>
        </w:rPr>
      </w:pPr>
    </w:p>
    <w:tbl>
      <w:tblPr>
        <w:tblStyle w:val="2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招标人</w:t>
            </w:r>
          </w:p>
        </w:tc>
        <w:tc>
          <w:tcPr>
            <w:tcW w:w="6282" w:type="dxa"/>
            <w:noWrap w:val="0"/>
            <w:vAlign w:val="center"/>
          </w:tcPr>
          <w:p>
            <w:pPr>
              <w:widowControl/>
              <w:topLinePunct/>
              <w:spacing w:line="460" w:lineRule="exact"/>
              <w:rPr>
                <w:rFonts w:hint="eastAsia" w:ascii="宋体" w:hAnsi="宋体" w:cs="宋体"/>
                <w:sz w:val="24"/>
              </w:rPr>
            </w:pPr>
            <w:r>
              <w:rPr>
                <w:rFonts w:hint="eastAsia" w:ascii="宋体" w:hAnsi="宋体" w:eastAsia="宋体" w:cs="宋体"/>
                <w:sz w:val="24"/>
                <w:szCs w:val="22"/>
                <w:lang w:val="zh-CN" w:eastAsia="zh-CN" w:bidi="zh-CN"/>
              </w:rPr>
              <w:t>邢台市林业局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项目名称</w:t>
            </w:r>
          </w:p>
        </w:tc>
        <w:tc>
          <w:tcPr>
            <w:tcW w:w="6282" w:type="dxa"/>
            <w:noWrap w:val="0"/>
            <w:vAlign w:val="center"/>
          </w:tcPr>
          <w:p>
            <w:pPr>
              <w:pStyle w:val="11"/>
              <w:jc w:val="both"/>
              <w:rPr>
                <w:rFonts w:hint="eastAsia" w:ascii="宋体" w:hAnsi="宋体" w:cs="宋体"/>
                <w:sz w:val="24"/>
              </w:rPr>
            </w:pPr>
            <w:r>
              <w:rPr>
                <w:rFonts w:hint="eastAsia" w:ascii="宋体" w:hAnsi="宋体" w:eastAsia="宋体" w:cs="宋体"/>
                <w:sz w:val="24"/>
                <w:szCs w:val="22"/>
                <w:lang w:val="zh-CN" w:eastAsia="zh-CN" w:bidi="zh-CN"/>
              </w:rPr>
              <w:t>邢台市草原有害生物普查第三方服务项目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项目编号</w:t>
            </w:r>
          </w:p>
        </w:tc>
        <w:tc>
          <w:tcPr>
            <w:tcW w:w="6282" w:type="dxa"/>
            <w:noWrap w:val="0"/>
            <w:vAlign w:val="center"/>
          </w:tcPr>
          <w:p>
            <w:pPr>
              <w:pStyle w:val="8"/>
              <w:ind w:right="62"/>
              <w:jc w:val="both"/>
              <w:rPr>
                <w:rFonts w:hint="eastAsia" w:ascii="宋体" w:hAnsi="宋体" w:cs="宋体"/>
                <w:sz w:val="24"/>
              </w:rPr>
            </w:pPr>
            <w:r>
              <w:rPr>
                <w:rFonts w:hint="eastAsia" w:ascii="宋体" w:hAnsi="宋体" w:eastAsia="宋体" w:cs="宋体"/>
                <w:b w:val="0"/>
                <w:bCs w:val="0"/>
                <w:sz w:val="24"/>
                <w:szCs w:val="22"/>
                <w:lang w:val="en-US" w:eastAsia="zh-CN" w:bidi="zh-CN"/>
              </w:rPr>
              <w:t>XTHM</w:t>
            </w:r>
            <w:r>
              <w:rPr>
                <w:rFonts w:hint="eastAsia" w:ascii="宋体" w:hAnsi="宋体" w:eastAsia="宋体" w:cs="宋体"/>
                <w:b w:val="0"/>
                <w:bCs w:val="0"/>
                <w:sz w:val="24"/>
                <w:szCs w:val="22"/>
                <w:lang w:val="zh-CN" w:eastAsia="zh-CN" w:bidi="zh-CN"/>
              </w:rPr>
              <w:t>2021-</w:t>
            </w:r>
            <w:r>
              <w:rPr>
                <w:rFonts w:hint="eastAsia" w:ascii="宋体" w:hAnsi="宋体" w:eastAsia="宋体" w:cs="宋体"/>
                <w:b w:val="0"/>
                <w:bCs w:val="0"/>
                <w:sz w:val="24"/>
                <w:szCs w:val="22"/>
                <w:lang w:val="en-US" w:eastAsia="zh-CN" w:bidi="zh-CN"/>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磋商总报价</w:t>
            </w:r>
          </w:p>
        </w:tc>
        <w:tc>
          <w:tcPr>
            <w:tcW w:w="6282" w:type="dxa"/>
            <w:noWrap w:val="0"/>
            <w:vAlign w:val="center"/>
          </w:tcPr>
          <w:p>
            <w:pPr>
              <w:spacing w:after="120" w:line="400" w:lineRule="exact"/>
              <w:rPr>
                <w:rFonts w:hint="eastAsia"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w:t>
            </w:r>
          </w:p>
          <w:p>
            <w:pPr>
              <w:spacing w:after="120" w:line="400" w:lineRule="exact"/>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338" w:type="dxa"/>
            <w:noWrap w:val="0"/>
            <w:vAlign w:val="center"/>
          </w:tcPr>
          <w:p>
            <w:pPr>
              <w:widowControl/>
              <w:topLinePunct/>
              <w:spacing w:line="460" w:lineRule="exact"/>
              <w:jc w:val="center"/>
              <w:rPr>
                <w:rFonts w:hint="eastAsia" w:ascii="宋体" w:hAnsi="宋体" w:eastAsia="宋体" w:cs="宋体"/>
                <w:sz w:val="24"/>
                <w:lang w:eastAsia="zh-CN"/>
              </w:rPr>
            </w:pPr>
            <w:r>
              <w:rPr>
                <w:rFonts w:hint="eastAsia" w:ascii="宋体" w:hAnsi="宋体" w:cs="宋体"/>
                <w:sz w:val="24"/>
                <w:lang w:eastAsia="zh-CN"/>
              </w:rPr>
              <w:t>供货期及安装周期</w:t>
            </w:r>
          </w:p>
        </w:tc>
        <w:tc>
          <w:tcPr>
            <w:tcW w:w="6282" w:type="dxa"/>
            <w:noWrap w:val="0"/>
            <w:vAlign w:val="center"/>
          </w:tcPr>
          <w:p>
            <w:pPr>
              <w:spacing w:after="120"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质量标准</w:t>
            </w:r>
          </w:p>
        </w:tc>
        <w:tc>
          <w:tcPr>
            <w:tcW w:w="6282" w:type="dxa"/>
            <w:noWrap w:val="0"/>
            <w:vAlign w:val="center"/>
          </w:tcPr>
          <w:p>
            <w:pPr>
              <w:spacing w:after="120"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338" w:type="dxa"/>
            <w:noWrap w:val="0"/>
            <w:vAlign w:val="center"/>
          </w:tcPr>
          <w:p>
            <w:pPr>
              <w:widowControl/>
              <w:topLinePunct/>
              <w:spacing w:line="460" w:lineRule="exact"/>
              <w:jc w:val="center"/>
              <w:rPr>
                <w:rFonts w:hint="eastAsia" w:ascii="宋体" w:hAnsi="宋体" w:cs="宋体"/>
                <w:sz w:val="24"/>
              </w:rPr>
            </w:pPr>
            <w:r>
              <w:rPr>
                <w:rFonts w:hint="eastAsia" w:ascii="宋体" w:hAnsi="宋体" w:cs="宋体"/>
                <w:sz w:val="24"/>
              </w:rPr>
              <w:t>其他说明</w:t>
            </w:r>
          </w:p>
        </w:tc>
        <w:tc>
          <w:tcPr>
            <w:tcW w:w="6282" w:type="dxa"/>
            <w:noWrap w:val="0"/>
            <w:vAlign w:val="center"/>
          </w:tcPr>
          <w:p>
            <w:pPr>
              <w:spacing w:after="120" w:line="400" w:lineRule="exact"/>
              <w:rPr>
                <w:rFonts w:hint="eastAsia" w:ascii="宋体" w:hAnsi="宋体" w:cs="宋体"/>
                <w:sz w:val="24"/>
              </w:rPr>
            </w:pPr>
          </w:p>
        </w:tc>
      </w:tr>
    </w:tbl>
    <w:p>
      <w:pPr>
        <w:widowControl/>
        <w:topLinePunct/>
        <w:spacing w:line="460" w:lineRule="exact"/>
        <w:ind w:firstLine="480"/>
        <w:rPr>
          <w:rFonts w:hint="eastAsia" w:ascii="宋体" w:hAnsi="宋体" w:cs="宋体"/>
          <w:sz w:val="24"/>
        </w:rPr>
      </w:pPr>
    </w:p>
    <w:p>
      <w:pPr>
        <w:widowControl/>
        <w:topLinePunct/>
        <w:spacing w:line="460" w:lineRule="exact"/>
        <w:ind w:firstLine="480"/>
        <w:rPr>
          <w:rFonts w:hint="eastAsia" w:ascii="宋体" w:hAnsi="宋体" w:cs="宋体"/>
          <w:sz w:val="24"/>
        </w:rPr>
      </w:pPr>
    </w:p>
    <w:p>
      <w:pPr>
        <w:widowControl/>
        <w:topLinePunct/>
        <w:spacing w:line="460" w:lineRule="exact"/>
        <w:ind w:firstLine="480"/>
        <w:rPr>
          <w:rFonts w:hint="eastAsia" w:ascii="宋体" w:hAnsi="宋体" w:cs="宋体"/>
          <w:sz w:val="24"/>
        </w:rPr>
      </w:pPr>
      <w:r>
        <w:rPr>
          <w:rFonts w:hint="eastAsia" w:ascii="宋体" w:hAnsi="宋体" w:cs="宋体"/>
          <w:sz w:val="24"/>
        </w:rPr>
        <w:t>投标单位名称（公章）：             法定代表人印鉴或签字：</w:t>
      </w:r>
    </w:p>
    <w:p>
      <w:pPr>
        <w:widowControl/>
        <w:topLinePunct/>
        <w:spacing w:line="460" w:lineRule="exact"/>
        <w:ind w:firstLine="480"/>
        <w:rPr>
          <w:rFonts w:hint="eastAsia" w:ascii="宋体" w:hAnsi="宋体" w:cs="宋体"/>
          <w:sz w:val="24"/>
        </w:rPr>
      </w:pPr>
      <w:r>
        <w:rPr>
          <w:rFonts w:hint="eastAsia" w:ascii="宋体" w:hAnsi="宋体" w:cs="宋体"/>
          <w:sz w:val="24"/>
        </w:rPr>
        <w:t xml:space="preserve">                                   被授权人签字：</w:t>
      </w:r>
    </w:p>
    <w:p>
      <w:pPr>
        <w:widowControl/>
        <w:topLinePunct/>
        <w:spacing w:line="460" w:lineRule="exact"/>
        <w:ind w:firstLine="480"/>
        <w:rPr>
          <w:rFonts w:hint="eastAsia" w:ascii="宋体" w:hAnsi="宋体" w:cs="宋体"/>
          <w:sz w:val="24"/>
        </w:rPr>
      </w:pPr>
      <w:r>
        <w:rPr>
          <w:rFonts w:hint="eastAsia" w:ascii="宋体" w:hAnsi="宋体" w:cs="宋体"/>
          <w:sz w:val="24"/>
        </w:rPr>
        <w:t xml:space="preserve">                        </w:t>
      </w:r>
    </w:p>
    <w:p>
      <w:pPr>
        <w:widowControl/>
        <w:topLinePunct/>
        <w:spacing w:line="460" w:lineRule="exact"/>
        <w:ind w:firstLine="480"/>
        <w:rPr>
          <w:rFonts w:hint="eastAsia" w:ascii="宋体" w:hAnsi="宋体" w:cs="宋体"/>
          <w:sz w:val="24"/>
        </w:rPr>
      </w:pPr>
    </w:p>
    <w:p>
      <w:pPr>
        <w:widowControl/>
        <w:topLinePunct/>
        <w:spacing w:line="460" w:lineRule="exact"/>
        <w:ind w:firstLine="480"/>
        <w:rPr>
          <w:rFonts w:hint="eastAsia" w:ascii="宋体" w:hAnsi="宋体" w:cs="宋体"/>
          <w:sz w:val="24"/>
        </w:rPr>
      </w:pPr>
    </w:p>
    <w:p>
      <w:pPr>
        <w:widowControl/>
        <w:topLinePunct/>
        <w:spacing w:line="460" w:lineRule="exact"/>
        <w:ind w:firstLine="5040" w:firstLineChars="21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topLinePunct/>
        <w:spacing w:line="460" w:lineRule="exact"/>
        <w:jc w:val="left"/>
        <w:rPr>
          <w:rFonts w:hint="eastAsia" w:ascii="宋体" w:hAnsi="宋体" w:cs="宋体"/>
          <w:sz w:val="24"/>
        </w:rPr>
      </w:pPr>
    </w:p>
    <w:p>
      <w:pPr>
        <w:widowControl/>
        <w:topLinePunct/>
        <w:spacing w:line="460" w:lineRule="exact"/>
        <w:jc w:val="left"/>
        <w:rPr>
          <w:rFonts w:hint="eastAsia" w:ascii="宋体" w:hAnsi="宋体" w:cs="宋体"/>
          <w:sz w:val="24"/>
        </w:rPr>
      </w:pPr>
      <w:r>
        <w:rPr>
          <w:rFonts w:hint="eastAsia" w:ascii="宋体" w:hAnsi="宋体" w:cs="宋体"/>
          <w:sz w:val="24"/>
        </w:rPr>
        <w:t>备注：开标现场须携带此表进行磋商报价。</w:t>
      </w:r>
    </w:p>
    <w:p/>
    <w:sectPr>
      <w:footerReference r:id="rId7" w:type="default"/>
      <w:type w:val="continuous"/>
      <w:pgSz w:w="11910" w:h="16840"/>
      <w:pgMar w:top="1580" w:right="720" w:bottom="280" w:left="9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9921240</wp:posOffset>
              </wp:positionV>
              <wp:extent cx="214630" cy="152400"/>
              <wp:effectExtent l="0" t="0" r="0" b="0"/>
              <wp:wrapNone/>
              <wp:docPr id="1" name="4097"/>
              <wp:cNvGraphicFramePr/>
              <a:graphic xmlns:a="http://schemas.openxmlformats.org/drawingml/2006/main">
                <a:graphicData uri="http://schemas.microsoft.com/office/word/2010/wordprocessingShape">
                  <wps:wsp>
                    <wps:cNvSpPr txBox="true"/>
                    <wps:spPr>
                      <a:xfrm>
                        <a:off x="0" y="0"/>
                        <a:ext cx="214630" cy="152400"/>
                      </a:xfrm>
                      <a:prstGeom prst="rect">
                        <a:avLst/>
                      </a:prstGeom>
                      <a:noFill/>
                      <a:ln>
                        <a:noFill/>
                      </a:ln>
                    </wps:spPr>
                    <wps:txbx>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w:t>
                          </w:r>
                          <w:r>
                            <w:fldChar w:fldCharType="end"/>
                          </w:r>
                          <w:r>
                            <w:rPr>
                              <w:rFonts w:ascii="Times New Roman"/>
                              <w:sz w:val="18"/>
                            </w:rPr>
                            <w:t xml:space="preserve"> -</w:t>
                          </w:r>
                        </w:p>
                      </w:txbxContent>
                    </wps:txbx>
                    <wps:bodyPr lIns="0" tIns="0" rIns="0" bIns="0" upright="true"/>
                  </wps:wsp>
                </a:graphicData>
              </a:graphic>
            </wp:anchor>
          </w:drawing>
        </mc:Choice>
        <mc:Fallback>
          <w:pict>
            <v:shape id="4097" o:spid="_x0000_s1026" o:spt="202" type="#_x0000_t202" style="position:absolute;left:0pt;margin-left:293.45pt;margin-top:781.2pt;height:12pt;width:16.9pt;mso-position-horizontal-relative:page;mso-position-vertical-relative:page;z-index:-251657216;mso-width-relative:page;mso-height-relative:page;" filled="f" stroked="f" coordsize="21600,21600" o:gfxdata="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JSAp+fbAAAADQEA&#10;AA8AAAAAAAAAAQAgAAAAOAAAAGRycy9kb3ducmV2LnhtbFBLAQIUABQAAAAIAIdO4kAXVF4EjwEA&#10;ACIDAAAOAAAAAAAAAAEAIAAAAEABAABkcnMvZTJvRG9jLnhtbFBLBQYAAAAABgAGAFkBAABBBQAA&#10;AAA=&#10;">
              <v:fill on="f" focussize="0,0"/>
              <v:stroke on="f"/>
              <v:imagedata o:title=""/>
              <o:lock v:ext="edit" aspectratio="f"/>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9921240</wp:posOffset>
              </wp:positionV>
              <wp:extent cx="214630" cy="152400"/>
              <wp:effectExtent l="0" t="0" r="0" b="0"/>
              <wp:wrapNone/>
              <wp:docPr id="2" name="4098"/>
              <wp:cNvGraphicFramePr/>
              <a:graphic xmlns:a="http://schemas.openxmlformats.org/drawingml/2006/main">
                <a:graphicData uri="http://schemas.microsoft.com/office/word/2010/wordprocessingShape">
                  <wps:wsp>
                    <wps:cNvSpPr txBox="true"/>
                    <wps:spPr>
                      <a:xfrm>
                        <a:off x="0" y="0"/>
                        <a:ext cx="214630" cy="152400"/>
                      </a:xfrm>
                      <a:prstGeom prst="rect">
                        <a:avLst/>
                      </a:prstGeom>
                      <a:noFill/>
                      <a:ln>
                        <a:noFill/>
                      </a:ln>
                    </wps:spPr>
                    <wps:txbx>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5</w:t>
                          </w:r>
                          <w:r>
                            <w:fldChar w:fldCharType="end"/>
                          </w:r>
                          <w:r>
                            <w:rPr>
                              <w:rFonts w:ascii="Times New Roman"/>
                              <w:sz w:val="18"/>
                            </w:rPr>
                            <w:t xml:space="preserve"> -</w:t>
                          </w:r>
                        </w:p>
                      </w:txbxContent>
                    </wps:txbx>
                    <wps:bodyPr lIns="0" tIns="0" rIns="0" bIns="0" upright="true"/>
                  </wps:wsp>
                </a:graphicData>
              </a:graphic>
            </wp:anchor>
          </w:drawing>
        </mc:Choice>
        <mc:Fallback>
          <w:pict>
            <v:shape id="4098" o:spid="_x0000_s1026" o:spt="202" type="#_x0000_t202" style="position:absolute;left:0pt;margin-left:293.45pt;margin-top:781.2pt;height:12pt;width:16.9pt;mso-position-horizontal-relative:page;mso-position-vertical-relative:page;z-index:-251656192;mso-width-relative:page;mso-height-relative:page;" filled="f" stroked="f" coordsize="21600,21600" o:gfxdata="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JSAp+fbAAAADQEA&#10;AA8AAAAAAAAAAQAgAAAAOAAAAGRycy9kb3ducmV2LnhtbFBLAQIUABQAAAAIAIdO4kCvnJ3ajwEA&#10;ACIDAAAOAAAAAAAAAAEAIAAAAEABAABkcnMvZTJvRG9jLnhtbFBLBQYAAAAABgAGAFkBAABBBQAA&#10;AAA=&#10;">
              <v:fill on="f" focussize="0,0"/>
              <v:stroke on="f"/>
              <v:imagedata o:title=""/>
              <o:lock v:ext="edit" aspectratio="f"/>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5</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3698240</wp:posOffset>
              </wp:positionH>
              <wp:positionV relativeFrom="page">
                <wp:posOffset>9921240</wp:posOffset>
              </wp:positionV>
              <wp:extent cx="272415" cy="152400"/>
              <wp:effectExtent l="0" t="0" r="0" b="0"/>
              <wp:wrapNone/>
              <wp:docPr id="3" name="4099"/>
              <wp:cNvGraphicFramePr/>
              <a:graphic xmlns:a="http://schemas.openxmlformats.org/drawingml/2006/main">
                <a:graphicData uri="http://schemas.microsoft.com/office/word/2010/wordprocessingShape">
                  <wps:wsp>
                    <wps:cNvSpPr txBox="true"/>
                    <wps:spPr>
                      <a:xfrm>
                        <a:off x="0" y="0"/>
                        <a:ext cx="272415" cy="152400"/>
                      </a:xfrm>
                      <a:prstGeom prst="rect">
                        <a:avLst/>
                      </a:prstGeom>
                      <a:noFill/>
                      <a:ln>
                        <a:noFill/>
                      </a:ln>
                    </wps:spPr>
                    <wps:txbx>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wps:txbx>
                    <wps:bodyPr lIns="0" tIns="0" rIns="0" bIns="0" upright="true"/>
                  </wps:wsp>
                </a:graphicData>
              </a:graphic>
            </wp:anchor>
          </w:drawing>
        </mc:Choice>
        <mc:Fallback>
          <w:pict>
            <v:shape id="4099" o:spid="_x0000_s1026" o:spt="202" type="#_x0000_t202" style="position:absolute;left:0pt;margin-left:291.2pt;margin-top:781.2pt;height:12pt;width:21.45pt;mso-position-horizontal-relative:page;mso-position-vertical-relative:page;z-index:-251655168;mso-width-relative:page;mso-height-relative:page;" filled="f" stroked="f" coordsize="21600,21600" o:gfxdata="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O8EUdDaAAAADQEA&#10;AA8AAAAAAAAAAQAgAAAAOAAAAGRycy9kb3ducmV2LnhtbFBLAQIUABQAAAAIAIdO4kAdSjKfkAEA&#10;ACIDAAAOAAAAAAAAAAEAIAAAAD8BAABkcnMvZTJvRG9jLnhtbFBLBQYAAAAABgAGAFkBAABBBQAA&#10;AAA=&#10;">
              <v:fill on="f" focussize="0,0"/>
              <v:stroke on="f"/>
              <v:imagedata o:title=""/>
              <o:lock v:ext="edit" aspectratio="f"/>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3698240</wp:posOffset>
              </wp:positionH>
              <wp:positionV relativeFrom="page">
                <wp:posOffset>9921240</wp:posOffset>
              </wp:positionV>
              <wp:extent cx="272415" cy="152400"/>
              <wp:effectExtent l="0" t="0" r="0" b="0"/>
              <wp:wrapNone/>
              <wp:docPr id="4" name="4100"/>
              <wp:cNvGraphicFramePr/>
              <a:graphic xmlns:a="http://schemas.openxmlformats.org/drawingml/2006/main">
                <a:graphicData uri="http://schemas.microsoft.com/office/word/2010/wordprocessingShape">
                  <wps:wsp>
                    <wps:cNvSpPr txBox="true"/>
                    <wps:spPr>
                      <a:xfrm>
                        <a:off x="0" y="0"/>
                        <a:ext cx="272415" cy="152400"/>
                      </a:xfrm>
                      <a:prstGeom prst="rect">
                        <a:avLst/>
                      </a:prstGeom>
                      <a:noFill/>
                      <a:ln>
                        <a:noFill/>
                      </a:ln>
                    </wps:spPr>
                    <wps:txbx>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30</w:t>
                          </w:r>
                          <w:r>
                            <w:fldChar w:fldCharType="end"/>
                          </w:r>
                          <w:r>
                            <w:rPr>
                              <w:rFonts w:ascii="Times New Roman"/>
                              <w:sz w:val="18"/>
                            </w:rPr>
                            <w:t xml:space="preserve"> -</w:t>
                          </w:r>
                        </w:p>
                      </w:txbxContent>
                    </wps:txbx>
                    <wps:bodyPr lIns="0" tIns="0" rIns="0" bIns="0" upright="true"/>
                  </wps:wsp>
                </a:graphicData>
              </a:graphic>
            </wp:anchor>
          </w:drawing>
        </mc:Choice>
        <mc:Fallback>
          <w:pict>
            <v:shape id="4100" o:spid="_x0000_s1026" o:spt="202" type="#_x0000_t202" style="position:absolute;left:0pt;margin-left:291.2pt;margin-top:781.2pt;height:12pt;width:21.45pt;mso-position-horizontal-relative:page;mso-position-vertical-relative:page;z-index:-251654144;mso-width-relative:page;mso-height-relative:page;" filled="f" stroked="f" coordsize="21600,21600" o:gfxdata="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BYAAABkcnMvUEsBAhQAFAAAAAgAh07iQO8EUdDaAAAADQEAAA8A&#10;AAAAAAAAAQAgAAAAOAAAAGRycy9kb3ducmV2LnhtbFBLAQIUABQAAAAIAIdO4kAC/L6njQEAACID&#10;AAAOAAAAAAAAAAEAIAAAAD8BAABkcnMvZTJvRG9jLnhtbFBLBQYAAAAABgAGAFkBAAA+BQ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3698240</wp:posOffset>
              </wp:positionH>
              <wp:positionV relativeFrom="page">
                <wp:posOffset>9921240</wp:posOffset>
              </wp:positionV>
              <wp:extent cx="272415" cy="152400"/>
              <wp:effectExtent l="0" t="0" r="0" b="0"/>
              <wp:wrapNone/>
              <wp:docPr id="5" name="4101"/>
              <wp:cNvGraphicFramePr/>
              <a:graphic xmlns:a="http://schemas.openxmlformats.org/drawingml/2006/main">
                <a:graphicData uri="http://schemas.microsoft.com/office/word/2010/wordprocessingShape">
                  <wps:wsp>
                    <wps:cNvSpPr txBox="true"/>
                    <wps:spPr>
                      <a:xfrm>
                        <a:off x="0" y="0"/>
                        <a:ext cx="272415" cy="152400"/>
                      </a:xfrm>
                      <a:prstGeom prst="rect">
                        <a:avLst/>
                      </a:prstGeom>
                      <a:noFill/>
                      <a:ln>
                        <a:noFill/>
                      </a:ln>
                    </wps:spPr>
                    <wps:txbx>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60</w:t>
                          </w:r>
                          <w:r>
                            <w:fldChar w:fldCharType="end"/>
                          </w:r>
                          <w:r>
                            <w:rPr>
                              <w:rFonts w:ascii="Times New Roman"/>
                              <w:sz w:val="18"/>
                            </w:rPr>
                            <w:t xml:space="preserve"> -</w:t>
                          </w:r>
                        </w:p>
                      </w:txbxContent>
                    </wps:txbx>
                    <wps:bodyPr lIns="0" tIns="0" rIns="0" bIns="0" upright="true"/>
                  </wps:wsp>
                </a:graphicData>
              </a:graphic>
            </wp:anchor>
          </w:drawing>
        </mc:Choice>
        <mc:Fallback>
          <w:pict>
            <v:shape id="4101" o:spid="_x0000_s1026" o:spt="202" type="#_x0000_t202" style="position:absolute;left:0pt;margin-left:291.2pt;margin-top:781.2pt;height:12pt;width:21.45pt;mso-position-horizontal-relative:page;mso-position-vertical-relative:page;z-index:-251653120;mso-width-relative:page;mso-height-relative:page;" filled="f" stroked="f" coordsize="21600,21600" o:gfxdata="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DvBFHQ2gAAAA0BAAAP&#10;AAAAAAAAAAEAIAAAADgAAABkcnMvZG93bnJldi54bWxQSwECFAAUAAAACACHTuJAuJFav44BAAAi&#10;AwAADgAAAAAAAAABACAAAAA/AQAAZHJzL2Uyb0RvYy54bWxQSwUGAAAAAAYABgBZAQAAPwU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60</w:t>
                    </w:r>
                    <w:r>
                      <w:fldChar w:fldCharType="end"/>
                    </w:r>
                    <w:r>
                      <w:rPr>
                        <w:rFonts w:ascii="Times New Roman"/>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6"/>
      <w:numFmt w:val="decimal"/>
      <w:lvlText w:val="%1"/>
      <w:lvlJc w:val="left"/>
      <w:pPr>
        <w:ind w:left="716" w:hanging="454"/>
        <w:jc w:val="left"/>
      </w:pPr>
      <w:rPr>
        <w:rFonts w:hint="default"/>
        <w:lang w:val="zh-CN" w:eastAsia="zh-CN" w:bidi="zh-CN"/>
      </w:rPr>
    </w:lvl>
    <w:lvl w:ilvl="1" w:tentative="0">
      <w:start w:val="1"/>
      <w:numFmt w:val="decimal"/>
      <w:lvlText w:val="%1.%2"/>
      <w:lvlJc w:val="left"/>
      <w:pPr>
        <w:ind w:left="716" w:hanging="454"/>
        <w:jc w:val="left"/>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625" w:hanging="454"/>
      </w:pPr>
      <w:rPr>
        <w:rFonts w:hint="default"/>
        <w:lang w:val="zh-CN" w:eastAsia="zh-CN" w:bidi="zh-CN"/>
      </w:rPr>
    </w:lvl>
    <w:lvl w:ilvl="3" w:tentative="0">
      <w:start w:val="0"/>
      <w:numFmt w:val="bullet"/>
      <w:lvlText w:val="•"/>
      <w:lvlJc w:val="left"/>
      <w:pPr>
        <w:ind w:left="3577" w:hanging="454"/>
      </w:pPr>
      <w:rPr>
        <w:rFonts w:hint="default"/>
        <w:lang w:val="zh-CN" w:eastAsia="zh-CN" w:bidi="zh-CN"/>
      </w:rPr>
    </w:lvl>
    <w:lvl w:ilvl="4" w:tentative="0">
      <w:start w:val="0"/>
      <w:numFmt w:val="bullet"/>
      <w:lvlText w:val="•"/>
      <w:lvlJc w:val="left"/>
      <w:pPr>
        <w:ind w:left="4530" w:hanging="454"/>
      </w:pPr>
      <w:rPr>
        <w:rFonts w:hint="default"/>
        <w:lang w:val="zh-CN" w:eastAsia="zh-CN" w:bidi="zh-CN"/>
      </w:rPr>
    </w:lvl>
    <w:lvl w:ilvl="5" w:tentative="0">
      <w:start w:val="0"/>
      <w:numFmt w:val="bullet"/>
      <w:lvlText w:val="•"/>
      <w:lvlJc w:val="left"/>
      <w:pPr>
        <w:ind w:left="5483" w:hanging="454"/>
      </w:pPr>
      <w:rPr>
        <w:rFonts w:hint="default"/>
        <w:lang w:val="zh-CN" w:eastAsia="zh-CN" w:bidi="zh-CN"/>
      </w:rPr>
    </w:lvl>
    <w:lvl w:ilvl="6" w:tentative="0">
      <w:start w:val="0"/>
      <w:numFmt w:val="bullet"/>
      <w:lvlText w:val="•"/>
      <w:lvlJc w:val="left"/>
      <w:pPr>
        <w:ind w:left="6435" w:hanging="454"/>
      </w:pPr>
      <w:rPr>
        <w:rFonts w:hint="default"/>
        <w:lang w:val="zh-CN" w:eastAsia="zh-CN" w:bidi="zh-CN"/>
      </w:rPr>
    </w:lvl>
    <w:lvl w:ilvl="7" w:tentative="0">
      <w:start w:val="0"/>
      <w:numFmt w:val="bullet"/>
      <w:lvlText w:val="•"/>
      <w:lvlJc w:val="left"/>
      <w:pPr>
        <w:ind w:left="7388" w:hanging="454"/>
      </w:pPr>
      <w:rPr>
        <w:rFonts w:hint="default"/>
        <w:lang w:val="zh-CN" w:eastAsia="zh-CN" w:bidi="zh-CN"/>
      </w:rPr>
    </w:lvl>
    <w:lvl w:ilvl="8" w:tentative="0">
      <w:start w:val="0"/>
      <w:numFmt w:val="bullet"/>
      <w:lvlText w:val="•"/>
      <w:lvlJc w:val="left"/>
      <w:pPr>
        <w:ind w:left="8340" w:hanging="454"/>
      </w:pPr>
      <w:rPr>
        <w:rFonts w:hint="default"/>
        <w:lang w:val="zh-CN" w:eastAsia="zh-CN" w:bidi="zh-CN"/>
      </w:rPr>
    </w:lvl>
  </w:abstractNum>
  <w:abstractNum w:abstractNumId="1">
    <w:nsid w:val="00000004"/>
    <w:multiLevelType w:val="singleLevel"/>
    <w:tmpl w:val="00000004"/>
    <w:lvl w:ilvl="0" w:tentative="0">
      <w:start w:val="5"/>
      <w:numFmt w:val="chineseCounting"/>
      <w:suff w:val="nothing"/>
      <w:lvlText w:val="%1、"/>
      <w:lvlJc w:val="left"/>
      <w:rPr>
        <w:rFonts w:hint="eastAsia"/>
      </w:rPr>
    </w:lvl>
  </w:abstractNum>
  <w:abstractNum w:abstractNumId="2">
    <w:nsid w:val="00000006"/>
    <w:multiLevelType w:val="multilevel"/>
    <w:tmpl w:val="00000006"/>
    <w:lvl w:ilvl="0" w:tentative="0">
      <w:start w:val="1"/>
      <w:numFmt w:val="none"/>
      <w:lvlText w:val="一、"/>
      <w:lvlJc w:val="left"/>
      <w:pPr>
        <w:tabs>
          <w:tab w:val="left" w:pos="645"/>
        </w:tabs>
        <w:ind w:left="645" w:hanging="64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singleLevel"/>
    <w:tmpl w:val="0000000E"/>
    <w:lvl w:ilvl="0" w:tentative="0">
      <w:start w:val="1"/>
      <w:numFmt w:val="decimal"/>
      <w:suff w:val="nothing"/>
      <w:lvlText w:val="%1、"/>
      <w:lvlJc w:val="left"/>
    </w:lvl>
  </w:abstractNum>
  <w:abstractNum w:abstractNumId="4">
    <w:nsid w:val="3D6FF443"/>
    <w:multiLevelType w:val="singleLevel"/>
    <w:tmpl w:val="3D6FF443"/>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0A"/>
    <w:rsid w:val="001A6A09"/>
    <w:rsid w:val="003343B2"/>
    <w:rsid w:val="007D60A3"/>
    <w:rsid w:val="0094290A"/>
    <w:rsid w:val="00D00047"/>
    <w:rsid w:val="01A92065"/>
    <w:rsid w:val="02C80E8A"/>
    <w:rsid w:val="03057A39"/>
    <w:rsid w:val="031A24D4"/>
    <w:rsid w:val="0352551B"/>
    <w:rsid w:val="03A44F5D"/>
    <w:rsid w:val="03FC72BC"/>
    <w:rsid w:val="045D087C"/>
    <w:rsid w:val="05496753"/>
    <w:rsid w:val="06114063"/>
    <w:rsid w:val="088E5E3C"/>
    <w:rsid w:val="09F10864"/>
    <w:rsid w:val="0A6F5F17"/>
    <w:rsid w:val="0A986B78"/>
    <w:rsid w:val="0B9C754C"/>
    <w:rsid w:val="0BF13B76"/>
    <w:rsid w:val="13D47B52"/>
    <w:rsid w:val="1441502F"/>
    <w:rsid w:val="15724401"/>
    <w:rsid w:val="16591968"/>
    <w:rsid w:val="16A63359"/>
    <w:rsid w:val="16C44C8D"/>
    <w:rsid w:val="19005194"/>
    <w:rsid w:val="194F7039"/>
    <w:rsid w:val="1A920EBA"/>
    <w:rsid w:val="1B7A5AF7"/>
    <w:rsid w:val="1BFC4075"/>
    <w:rsid w:val="1CC81E44"/>
    <w:rsid w:val="1D51512D"/>
    <w:rsid w:val="1D6D02B6"/>
    <w:rsid w:val="1DC26632"/>
    <w:rsid w:val="217B4FA4"/>
    <w:rsid w:val="22ED1F45"/>
    <w:rsid w:val="23AB33E1"/>
    <w:rsid w:val="24D37C0C"/>
    <w:rsid w:val="25011DBD"/>
    <w:rsid w:val="29567D91"/>
    <w:rsid w:val="29AC27B6"/>
    <w:rsid w:val="2A461312"/>
    <w:rsid w:val="2AAB130A"/>
    <w:rsid w:val="2BF0305D"/>
    <w:rsid w:val="2E9D28F0"/>
    <w:rsid w:val="2F61489E"/>
    <w:rsid w:val="2F8A1B3F"/>
    <w:rsid w:val="2FE4581E"/>
    <w:rsid w:val="30332435"/>
    <w:rsid w:val="30FD11A3"/>
    <w:rsid w:val="319F09CB"/>
    <w:rsid w:val="32B838B4"/>
    <w:rsid w:val="32B849C7"/>
    <w:rsid w:val="32ED1B16"/>
    <w:rsid w:val="32EF6DBC"/>
    <w:rsid w:val="34475C8C"/>
    <w:rsid w:val="3548683B"/>
    <w:rsid w:val="35FD2D38"/>
    <w:rsid w:val="367F6249"/>
    <w:rsid w:val="36BB2594"/>
    <w:rsid w:val="384A13BF"/>
    <w:rsid w:val="39FD7F23"/>
    <w:rsid w:val="3BC73F00"/>
    <w:rsid w:val="3BD8080C"/>
    <w:rsid w:val="3D954193"/>
    <w:rsid w:val="3E983D73"/>
    <w:rsid w:val="3EB818B7"/>
    <w:rsid w:val="40902A92"/>
    <w:rsid w:val="436F5E0C"/>
    <w:rsid w:val="44C45348"/>
    <w:rsid w:val="4697155D"/>
    <w:rsid w:val="46D85F00"/>
    <w:rsid w:val="471B66A7"/>
    <w:rsid w:val="4A64731F"/>
    <w:rsid w:val="4AE47C5F"/>
    <w:rsid w:val="4C9C1B35"/>
    <w:rsid w:val="4CD64E29"/>
    <w:rsid w:val="4CD82E62"/>
    <w:rsid w:val="4D593C42"/>
    <w:rsid w:val="4DBB5507"/>
    <w:rsid w:val="50470F26"/>
    <w:rsid w:val="51211573"/>
    <w:rsid w:val="520A066A"/>
    <w:rsid w:val="53E87ED2"/>
    <w:rsid w:val="53F672F2"/>
    <w:rsid w:val="54A23F92"/>
    <w:rsid w:val="54D94F2A"/>
    <w:rsid w:val="5A167F45"/>
    <w:rsid w:val="5AB21A7A"/>
    <w:rsid w:val="5BE57D2E"/>
    <w:rsid w:val="5F5B2D13"/>
    <w:rsid w:val="5F842C3F"/>
    <w:rsid w:val="6053195B"/>
    <w:rsid w:val="60EB23C2"/>
    <w:rsid w:val="610D1EA0"/>
    <w:rsid w:val="621E465F"/>
    <w:rsid w:val="647B744A"/>
    <w:rsid w:val="65444FE7"/>
    <w:rsid w:val="65692B98"/>
    <w:rsid w:val="695059D7"/>
    <w:rsid w:val="6A022E9A"/>
    <w:rsid w:val="6BA57CD2"/>
    <w:rsid w:val="6BF011A9"/>
    <w:rsid w:val="6C594218"/>
    <w:rsid w:val="6EBA75E8"/>
    <w:rsid w:val="6EE65DE4"/>
    <w:rsid w:val="70312C5E"/>
    <w:rsid w:val="71651DC7"/>
    <w:rsid w:val="725B1B9D"/>
    <w:rsid w:val="73C50E97"/>
    <w:rsid w:val="748C7553"/>
    <w:rsid w:val="75F969E2"/>
    <w:rsid w:val="76B27271"/>
    <w:rsid w:val="79057091"/>
    <w:rsid w:val="7BEC3E95"/>
    <w:rsid w:val="7E463E6C"/>
    <w:rsid w:val="7F7672AB"/>
    <w:rsid w:val="7F9A5E42"/>
    <w:rsid w:val="7FDE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8"/>
      <w:ind w:right="66"/>
      <w:jc w:val="center"/>
      <w:outlineLvl w:val="0"/>
    </w:pPr>
    <w:rPr>
      <w:b/>
      <w:bCs/>
      <w:sz w:val="52"/>
      <w:szCs w:val="52"/>
    </w:rPr>
  </w:style>
  <w:style w:type="paragraph" w:styleId="4">
    <w:name w:val="heading 2"/>
    <w:basedOn w:val="1"/>
    <w:next w:val="1"/>
    <w:qFormat/>
    <w:uiPriority w:val="1"/>
    <w:pPr>
      <w:spacing w:before="50"/>
      <w:ind w:right="42"/>
      <w:jc w:val="center"/>
      <w:outlineLvl w:val="1"/>
    </w:pPr>
    <w:rPr>
      <w:b/>
      <w:bCs/>
      <w:sz w:val="36"/>
      <w:szCs w:val="36"/>
    </w:rPr>
  </w:style>
  <w:style w:type="paragraph" w:styleId="5">
    <w:name w:val="heading 3"/>
    <w:basedOn w:val="1"/>
    <w:next w:val="1"/>
    <w:qFormat/>
    <w:uiPriority w:val="1"/>
    <w:pPr>
      <w:spacing w:before="54"/>
      <w:jc w:val="center"/>
      <w:outlineLvl w:val="2"/>
    </w:pPr>
    <w:rPr>
      <w:b/>
      <w:bCs/>
      <w:sz w:val="32"/>
      <w:szCs w:val="32"/>
    </w:rPr>
  </w:style>
  <w:style w:type="paragraph" w:styleId="6">
    <w:name w:val="heading 4"/>
    <w:basedOn w:val="1"/>
    <w:next w:val="1"/>
    <w:qFormat/>
    <w:uiPriority w:val="1"/>
    <w:pPr>
      <w:ind w:left="478" w:right="525"/>
      <w:outlineLvl w:val="3"/>
    </w:pPr>
    <w:rPr>
      <w:sz w:val="32"/>
      <w:szCs w:val="32"/>
    </w:rPr>
  </w:style>
  <w:style w:type="paragraph" w:styleId="7">
    <w:name w:val="heading 5"/>
    <w:basedOn w:val="1"/>
    <w:next w:val="1"/>
    <w:qFormat/>
    <w:uiPriority w:val="1"/>
    <w:pPr>
      <w:outlineLvl w:val="4"/>
    </w:pPr>
    <w:rPr>
      <w:b/>
      <w:bCs/>
      <w:sz w:val="30"/>
      <w:szCs w:val="30"/>
    </w:rPr>
  </w:style>
  <w:style w:type="paragraph" w:styleId="8">
    <w:name w:val="heading 6"/>
    <w:basedOn w:val="1"/>
    <w:next w:val="1"/>
    <w:qFormat/>
    <w:uiPriority w:val="1"/>
    <w:pPr>
      <w:outlineLvl w:val="5"/>
    </w:pPr>
    <w:rPr>
      <w:b/>
      <w:bCs/>
      <w:sz w:val="28"/>
      <w:szCs w:val="28"/>
    </w:rPr>
  </w:style>
  <w:style w:type="paragraph" w:styleId="9">
    <w:name w:val="heading 7"/>
    <w:basedOn w:val="1"/>
    <w:next w:val="1"/>
    <w:qFormat/>
    <w:uiPriority w:val="1"/>
    <w:pPr>
      <w:ind w:left="478"/>
      <w:outlineLvl w:val="6"/>
    </w:pPr>
    <w:rPr>
      <w:b/>
      <w:bCs/>
      <w:sz w:val="24"/>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10">
    <w:name w:val="annotation text"/>
    <w:basedOn w:val="1"/>
    <w:qFormat/>
    <w:uiPriority w:val="0"/>
  </w:style>
  <w:style w:type="paragraph" w:styleId="11">
    <w:name w:val="Body Text"/>
    <w:basedOn w:val="1"/>
    <w:next w:val="12"/>
    <w:qFormat/>
    <w:uiPriority w:val="1"/>
    <w:rPr>
      <w:sz w:val="24"/>
      <w:szCs w:val="24"/>
    </w:rPr>
  </w:style>
  <w:style w:type="paragraph" w:styleId="12">
    <w:name w:val="toc 2"/>
    <w:basedOn w:val="1"/>
    <w:next w:val="1"/>
    <w:qFormat/>
    <w:uiPriority w:val="0"/>
    <w:pPr>
      <w:tabs>
        <w:tab w:val="right" w:leader="middleDot" w:pos="8640"/>
        <w:tab w:val="left" w:pos="9180"/>
      </w:tabs>
      <w:spacing w:line="460" w:lineRule="exact"/>
    </w:pPr>
    <w:rPr>
      <w:sz w:val="24"/>
    </w:rPr>
  </w:style>
  <w:style w:type="paragraph" w:styleId="13">
    <w:name w:val="Body Text Indent"/>
    <w:basedOn w:val="1"/>
    <w:next w:val="14"/>
    <w:qFormat/>
    <w:uiPriority w:val="0"/>
    <w:pPr>
      <w:ind w:left="200" w:hanging="200" w:hangingChars="200"/>
    </w:pPr>
    <w:rPr>
      <w:sz w:val="32"/>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rPr>
      <w:szCs w:val="20"/>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Normal (Web)"/>
    <w:basedOn w:val="1"/>
    <w:qFormat/>
    <w:uiPriority w:val="0"/>
    <w:rPr>
      <w:sz w:val="24"/>
    </w:rPr>
  </w:style>
  <w:style w:type="paragraph" w:styleId="19">
    <w:name w:val="Body Text First Indent 2"/>
    <w:basedOn w:val="13"/>
    <w:next w:val="1"/>
    <w:qFormat/>
    <w:uiPriority w:val="0"/>
    <w:pPr>
      <w:tabs>
        <w:tab w:val="left" w:pos="8280"/>
      </w:tabs>
      <w:spacing w:after="120"/>
      <w:ind w:leftChars="200" w:firstLine="200" w:firstLineChars="200"/>
    </w:pPr>
    <w:rPr>
      <w:rFonts w:ascii="Times New Roman"/>
      <w:sz w:val="24"/>
    </w:rPr>
  </w:style>
  <w:style w:type="character" w:styleId="22">
    <w:name w:val="Strong"/>
    <w:basedOn w:val="21"/>
    <w:qFormat/>
    <w:uiPriority w:val="0"/>
    <w:rPr>
      <w:b/>
      <w:sz w:val="24"/>
      <w:szCs w:val="24"/>
    </w:rPr>
  </w:style>
  <w:style w:type="character" w:styleId="23">
    <w:name w:val="FollowedHyperlink"/>
    <w:basedOn w:val="21"/>
    <w:qFormat/>
    <w:uiPriority w:val="0"/>
    <w:rPr>
      <w:color w:val="444444"/>
      <w:u w:val="none"/>
    </w:rPr>
  </w:style>
  <w:style w:type="character" w:styleId="24">
    <w:name w:val="Emphasis"/>
    <w:basedOn w:val="21"/>
    <w:qFormat/>
    <w:uiPriority w:val="0"/>
    <w:rPr>
      <w:color w:val="CC0000"/>
      <w:sz w:val="24"/>
      <w:szCs w:val="24"/>
    </w:rPr>
  </w:style>
  <w:style w:type="character" w:styleId="25">
    <w:name w:val="Hyperlink"/>
    <w:basedOn w:val="21"/>
    <w:qFormat/>
    <w:uiPriority w:val="0"/>
    <w:rPr>
      <w:color w:val="444444"/>
      <w:u w:val="none"/>
    </w:rPr>
  </w:style>
  <w:style w:type="character" w:styleId="26">
    <w:name w:val="HTML Cite"/>
    <w:basedOn w:val="21"/>
    <w:qFormat/>
    <w:uiPriority w:val="0"/>
    <w:rPr>
      <w:sz w:val="24"/>
      <w:szCs w:val="24"/>
    </w:rPr>
  </w:style>
  <w:style w:type="paragraph" w:customStyle="1" w:styleId="27">
    <w:name w:val="表格文字"/>
    <w:basedOn w:val="1"/>
    <w:next w:val="11"/>
    <w:qFormat/>
    <w:uiPriority w:val="0"/>
    <w:pPr>
      <w:adjustRightInd w:val="0"/>
      <w:spacing w:line="420" w:lineRule="atLeast"/>
      <w:textAlignment w:val="baseline"/>
    </w:pPr>
    <w:rPr>
      <w:rFonts w:ascii="Times New Roman" w:hAnsi="Times New Roman"/>
      <w:szCs w:val="20"/>
    </w:rPr>
  </w:style>
  <w:style w:type="table" w:customStyle="1" w:styleId="28">
    <w:name w:val="Table Normal"/>
    <w:qFormat/>
    <w:uiPriority w:val="2"/>
    <w:tblPr>
      <w:tblCellMar>
        <w:top w:w="0" w:type="dxa"/>
        <w:left w:w="0" w:type="dxa"/>
        <w:bottom w:w="0" w:type="dxa"/>
        <w:right w:w="0" w:type="dxa"/>
      </w:tblCellMar>
    </w:tblPr>
  </w:style>
  <w:style w:type="paragraph" w:styleId="29">
    <w:name w:val="List Paragraph"/>
    <w:basedOn w:val="1"/>
    <w:qFormat/>
    <w:uiPriority w:val="1"/>
    <w:pPr>
      <w:ind w:left="478" w:firstLine="480"/>
    </w:pPr>
  </w:style>
  <w:style w:type="paragraph" w:customStyle="1" w:styleId="30">
    <w:name w:val="Table Paragraph"/>
    <w:basedOn w:val="1"/>
    <w:qFormat/>
    <w:uiPriority w:val="1"/>
  </w:style>
  <w:style w:type="character" w:customStyle="1" w:styleId="31">
    <w:name w:val="layui-layer-tabnow"/>
    <w:basedOn w:val="21"/>
    <w:qFormat/>
    <w:uiPriority w:val="0"/>
    <w:rPr>
      <w:bdr w:val="single" w:color="CCCCCC" w:sz="6" w:space="0"/>
      <w:shd w:val="clear" w:color="auto" w:fill="FFFFFF"/>
    </w:rPr>
  </w:style>
  <w:style w:type="character" w:customStyle="1" w:styleId="32">
    <w:name w:val="first-child"/>
    <w:basedOn w:val="21"/>
    <w:qFormat/>
    <w:uiPriority w:val="0"/>
  </w:style>
  <w:style w:type="character" w:customStyle="1" w:styleId="33">
    <w:name w:val="current"/>
    <w:basedOn w:val="21"/>
    <w:qFormat/>
    <w:uiPriority w:val="0"/>
    <w:rPr>
      <w:shd w:val="clear" w:color="auto" w:fill="1F80E6"/>
    </w:rPr>
  </w:style>
  <w:style w:type="character" w:customStyle="1" w:styleId="34">
    <w:name w:val="today"/>
    <w:basedOn w:val="21"/>
    <w:qFormat/>
    <w:uiPriority w:val="0"/>
    <w:rPr>
      <w:color w:val="737373"/>
    </w:rPr>
  </w:style>
  <w:style w:type="character" w:customStyle="1" w:styleId="35">
    <w:name w:val="active10"/>
    <w:basedOn w:val="21"/>
    <w:qFormat/>
    <w:uiPriority w:val="0"/>
    <w:rPr>
      <w:color w:val="FFFFFF"/>
      <w:shd w:val="clear" w:color="auto" w:fill="2B70B8"/>
    </w:rPr>
  </w:style>
  <w:style w:type="character" w:customStyle="1" w:styleId="36">
    <w:name w:val="infro_laiyuan"/>
    <w:basedOn w:val="21"/>
    <w:qFormat/>
    <w:uiPriority w:val="0"/>
    <w:rPr>
      <w:b/>
      <w:bCs/>
      <w:color w:val="0099CC"/>
    </w:rPr>
  </w:style>
  <w:style w:type="character" w:customStyle="1" w:styleId="37">
    <w:name w:val="hover39"/>
    <w:basedOn w:val="21"/>
    <w:qFormat/>
    <w:uiPriority w:val="0"/>
    <w:rPr>
      <w:color w:val="FF0000"/>
    </w:rPr>
  </w:style>
  <w:style w:type="character" w:customStyle="1" w:styleId="38">
    <w:name w:val="hover40"/>
    <w:basedOn w:val="21"/>
    <w:qFormat/>
    <w:uiPriority w:val="0"/>
    <w:rPr>
      <w:color w:val="FFFFFF"/>
      <w:shd w:val="clear" w:color="auto" w:fill="1F80E6"/>
    </w:rPr>
  </w:style>
  <w:style w:type="character" w:customStyle="1" w:styleId="39">
    <w:name w:val="hover41"/>
    <w:basedOn w:val="21"/>
    <w:qFormat/>
    <w:uiPriority w:val="0"/>
    <w:rPr>
      <w:color w:val="FFFFFF"/>
      <w:shd w:val="clear" w:color="auto" w:fill="1F80E6"/>
    </w:rPr>
  </w:style>
  <w:style w:type="character" w:customStyle="1" w:styleId="40">
    <w:name w:val="panel_title"/>
    <w:basedOn w:val="21"/>
    <w:qFormat/>
    <w:uiPriority w:val="0"/>
  </w:style>
  <w:style w:type="character" w:customStyle="1" w:styleId="41">
    <w:name w:val="active17"/>
    <w:basedOn w:val="21"/>
    <w:qFormat/>
    <w:uiPriority w:val="0"/>
    <w:rPr>
      <w:color w:val="FFFFFF"/>
      <w:shd w:val="clear" w:color="auto" w:fill="1F80E6"/>
    </w:rPr>
  </w:style>
  <w:style w:type="character" w:customStyle="1" w:styleId="42">
    <w:name w:val="active18"/>
    <w:basedOn w:val="21"/>
    <w:qFormat/>
    <w:uiPriority w:val="0"/>
    <w:rPr>
      <w:color w:val="FF0000"/>
      <w:shd w:val="clear" w:color="auto" w:fill="2B70B8"/>
    </w:rPr>
  </w:style>
  <w:style w:type="character" w:customStyle="1" w:styleId="43">
    <w:name w:val="hover"/>
    <w:basedOn w:val="21"/>
    <w:qFormat/>
    <w:uiPriority w:val="0"/>
    <w:rPr>
      <w:color w:val="FFFFFF"/>
      <w:shd w:val="clear" w:color="auto" w:fill="1F80E6"/>
    </w:rPr>
  </w:style>
  <w:style w:type="character" w:customStyle="1" w:styleId="44">
    <w:name w:val="hover1"/>
    <w:basedOn w:val="21"/>
    <w:qFormat/>
    <w:uiPriority w:val="0"/>
    <w:rPr>
      <w:color w:val="FF0000"/>
    </w:rPr>
  </w:style>
  <w:style w:type="character" w:customStyle="1" w:styleId="45">
    <w:name w:val="hover2"/>
    <w:basedOn w:val="21"/>
    <w:qFormat/>
    <w:uiPriority w:val="0"/>
    <w:rPr>
      <w:color w:val="FFFFFF"/>
      <w:shd w:val="clear" w:color="auto" w:fill="1F80E6"/>
    </w:rPr>
  </w:style>
  <w:style w:type="character" w:customStyle="1" w:styleId="46">
    <w:name w:val="active"/>
    <w:basedOn w:val="21"/>
    <w:qFormat/>
    <w:uiPriority w:val="0"/>
    <w:rPr>
      <w:color w:val="FFFFFF"/>
      <w:shd w:val="clear" w:color="auto" w:fill="1F80E6"/>
    </w:rPr>
  </w:style>
  <w:style w:type="character" w:customStyle="1" w:styleId="47">
    <w:name w:val="active1"/>
    <w:basedOn w:val="21"/>
    <w:qFormat/>
    <w:uiPriority w:val="0"/>
    <w:rPr>
      <w:color w:val="FFFFFF"/>
      <w:shd w:val="clear" w:color="auto" w:fill="2B70B8"/>
    </w:rPr>
  </w:style>
  <w:style w:type="character" w:customStyle="1" w:styleId="48">
    <w:name w:val="infro_laiyuan2"/>
    <w:basedOn w:val="21"/>
    <w:qFormat/>
    <w:uiPriority w:val="0"/>
    <w:rPr>
      <w:b/>
      <w:bCs/>
      <w:color w:val="0099CC"/>
    </w:rPr>
  </w:style>
  <w:style w:type="character" w:customStyle="1" w:styleId="49">
    <w:name w:val="active11"/>
    <w:basedOn w:val="21"/>
    <w:qFormat/>
    <w:uiPriority w:val="0"/>
    <w:rPr>
      <w:color w:val="FFFFFF"/>
      <w:shd w:val="clear" w:color="auto" w:fill="1F80E6"/>
    </w:rPr>
  </w:style>
  <w:style w:type="character" w:customStyle="1" w:styleId="50">
    <w:name w:val="active12"/>
    <w:basedOn w:val="21"/>
    <w:qFormat/>
    <w:uiPriority w:val="0"/>
    <w:rPr>
      <w:color w:val="FFFFFF"/>
      <w:shd w:val="clear" w:color="auto" w:fill="2B70B8"/>
    </w:rPr>
  </w:style>
  <w:style w:type="character" w:customStyle="1" w:styleId="51">
    <w:name w:val="hover38"/>
    <w:basedOn w:val="21"/>
    <w:qFormat/>
    <w:uiPriority w:val="0"/>
    <w:rPr>
      <w:color w:val="FFFFFF"/>
      <w:shd w:val="clear" w:color="auto" w:fill="1F80E6"/>
    </w:rPr>
  </w:style>
  <w:style w:type="character" w:customStyle="1" w:styleId="52">
    <w:name w:val="active2"/>
    <w:basedOn w:val="21"/>
    <w:qFormat/>
    <w:uiPriority w:val="0"/>
    <w:rPr>
      <w:color w:val="FFFFFF"/>
      <w:shd w:val="clear" w:color="auto" w:fill="1F80E6"/>
    </w:rPr>
  </w:style>
  <w:style w:type="character" w:customStyle="1" w:styleId="53">
    <w:name w:val="active3"/>
    <w:basedOn w:val="21"/>
    <w:qFormat/>
    <w:uiPriority w:val="0"/>
    <w:rPr>
      <w:color w:val="FFFFFF"/>
      <w:shd w:val="clear" w:color="auto" w:fill="2B70B8"/>
    </w:rPr>
  </w:style>
  <w:style w:type="paragraph" w:customStyle="1" w:styleId="54">
    <w:name w:val="正文文本1"/>
    <w:qFormat/>
    <w:uiPriority w:val="0"/>
    <w:pPr>
      <w:spacing w:after="140"/>
      <w:jc w:val="both"/>
    </w:pPr>
    <w:rPr>
      <w:rFonts w:ascii="Calibri" w:hAnsi="Calibri" w:eastAsia="宋体" w:cs="Calibri"/>
      <w:sz w:val="21"/>
      <w:szCs w:val="21"/>
      <w:lang w:val="en-US" w:eastAsia="zh-CN" w:bidi="hi-IN"/>
    </w:rPr>
  </w:style>
  <w:style w:type="paragraph" w:customStyle="1" w:styleId="55">
    <w:name w:val="(符号)标书正文"/>
    <w:basedOn w:val="1"/>
    <w:qFormat/>
    <w:uiPriority w:val="0"/>
    <w:pPr>
      <w:spacing w:line="420" w:lineRule="exact"/>
      <w:ind w:firstLine="200" w:firstLineChars="200"/>
    </w:pPr>
    <w:rPr>
      <w:sz w:val="24"/>
      <w:lang w:val="en-GB" w:eastAsia="en-GB" w:bidi="ar-SA"/>
    </w:rPr>
  </w:style>
  <w:style w:type="paragraph" w:customStyle="1" w:styleId="56">
    <w:name w:val="reader-word-layer reader-word-s1-0"/>
    <w:basedOn w:val="1"/>
    <w:qFormat/>
    <w:uiPriority w:val="0"/>
    <w:pPr>
      <w:widowControl/>
      <w:spacing w:before="100" w:beforeAutospacing="1" w:after="100" w:afterAutospacing="1"/>
    </w:pPr>
    <w:rPr>
      <w:sz w:val="24"/>
    </w:rPr>
  </w:style>
  <w:style w:type="paragraph" w:customStyle="1" w:styleId="57">
    <w:name w:val="正文 A"/>
    <w:next w:val="1"/>
    <w:qFormat/>
    <w:uiPriority w:val="0"/>
    <w:pPr>
      <w:widowControl w:val="0"/>
      <w:jc w:val="both"/>
    </w:pPr>
    <w:rPr>
      <w:rFonts w:ascii="Calibri" w:hAnsi="Calibri"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4477</Words>
  <Characters>25524</Characters>
  <Lines>212</Lines>
  <Paragraphs>59</Paragraphs>
  <TotalTime>7</TotalTime>
  <ScaleCrop>false</ScaleCrop>
  <LinksUpToDate>false</LinksUpToDate>
  <CharactersWithSpaces>29942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2021-09-15T17:42:00Z</dcterms:created>
  <dc:creator>王云领</dc:creator>
  <cp:lastModifiedBy>bgs</cp:lastModifiedBy>
  <cp:lastPrinted>2021-05-12T23:42:00Z</cp:lastPrinted>
  <dcterms:modified xsi:type="dcterms:W3CDTF">2025-05-15T09:34:11Z</dcterms:modified>
  <dc:title>河北省房屋建筑和市政基础设施工程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文字</vt:lpwstr>
  </property>
  <property fmtid="{D5CDD505-2E9C-101B-9397-08002B2CF9AE}" pid="4" name="LastSaved">
    <vt:filetime>2021-05-12T00:00:00Z</vt:filetime>
  </property>
  <property fmtid="{D5CDD505-2E9C-101B-9397-08002B2CF9AE}" pid="5" name="KSOProductBuildVer">
    <vt:lpwstr>2052-11.8.2.10386</vt:lpwstr>
  </property>
  <property fmtid="{D5CDD505-2E9C-101B-9397-08002B2CF9AE}" pid="6" name="ICV">
    <vt:lpwstr>57399f3cf1524978b8b39f18c7a94055</vt:lpwstr>
  </property>
</Properties>
</file>