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sz w:val="36"/>
          <w:szCs w:val="36"/>
        </w:rPr>
      </w:pPr>
    </w:p>
    <w:p>
      <w:pPr>
        <w:spacing w:line="580" w:lineRule="exact"/>
        <w:ind w:right="-107" w:rightChars="-51" w:firstLine="565" w:firstLineChars="128"/>
        <w:jc w:val="center"/>
        <w:rPr>
          <w:rFonts w:hint="eastAsia"/>
          <w:b/>
          <w:bCs/>
          <w:sz w:val="44"/>
          <w:szCs w:val="36"/>
        </w:rPr>
      </w:pPr>
      <w:r>
        <w:rPr>
          <w:rFonts w:hint="eastAsia"/>
          <w:b/>
          <w:bCs/>
          <w:sz w:val="44"/>
          <w:szCs w:val="36"/>
        </w:rPr>
        <w:t>邢台市市级果品抽检</w:t>
      </w:r>
      <w:r>
        <w:rPr>
          <w:rFonts w:hint="eastAsia"/>
          <w:b/>
          <w:bCs/>
          <w:sz w:val="44"/>
          <w:szCs w:val="36"/>
          <w:lang w:eastAsia="zh-CN"/>
        </w:rPr>
        <w:t>执</w:t>
      </w:r>
      <w:r>
        <w:rPr>
          <w:rFonts w:hint="eastAsia"/>
          <w:b/>
          <w:bCs/>
          <w:sz w:val="44"/>
          <w:szCs w:val="36"/>
        </w:rPr>
        <w:t>行办法</w:t>
      </w:r>
    </w:p>
    <w:p>
      <w:pPr>
        <w:adjustRightInd w:val="0"/>
        <w:snapToGrid w:val="0"/>
        <w:spacing w:line="580" w:lineRule="exact"/>
        <w:ind w:firstLine="411" w:firstLineChars="128"/>
        <w:jc w:val="center"/>
        <w:rPr>
          <w:rFonts w:hint="eastAsia" w:hAnsi="宋体"/>
          <w:b/>
          <w:sz w:val="32"/>
        </w:rPr>
      </w:pPr>
    </w:p>
    <w:p>
      <w:pPr>
        <w:adjustRightInd w:val="0"/>
        <w:snapToGrid w:val="0"/>
        <w:spacing w:line="580" w:lineRule="exact"/>
        <w:ind w:firstLine="411" w:firstLineChars="128"/>
        <w:jc w:val="center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第一章　总  则</w:t>
      </w:r>
    </w:p>
    <w:p>
      <w:pPr>
        <w:spacing w:line="580" w:lineRule="exact"/>
        <w:jc w:val="center"/>
        <w:rPr>
          <w:rFonts w:hint="eastAsia" w:ascii="仿宋_GB2312" w:eastAsia="仿宋_GB2312"/>
          <w:bCs/>
          <w:szCs w:val="30"/>
        </w:rPr>
      </w:pPr>
    </w:p>
    <w:p>
      <w:pPr>
        <w:spacing w:before="312" w:beforeLines="100"/>
        <w:ind w:firstLine="646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>第一条</w:t>
      </w:r>
      <w:r>
        <w:rPr>
          <w:rFonts w:hint="eastAsia" w:ascii="仿宋_GB2312" w:hAnsi="仿宋" w:eastAsia="仿宋_GB2312"/>
          <w:sz w:val="32"/>
        </w:rPr>
        <w:t xml:space="preserve">  为杜绝果品重大质量安全事故的发生，保障我市林果产业又好又快发展，根据《中华人民共和国食品安全法》、《中华人民共和国农产品质量安全法》和《中华人民共和国农产品质量安全法实施条例》，参考省林果桑花检测中心和省内各设区市林果检测结构的具体做法，结合我市实际，特</w:t>
      </w:r>
      <w:r>
        <w:rPr>
          <w:rFonts w:hint="eastAsia" w:ascii="仿宋_GB2312" w:hAnsi="仿宋" w:eastAsia="仿宋_GB2312"/>
          <w:color w:val="000000"/>
          <w:sz w:val="32"/>
        </w:rPr>
        <w:t>制定本暂行办法（以下简称“本办法”）。</w:t>
      </w:r>
      <w:bookmarkStart w:id="0" w:name="_GoBack"/>
      <w:bookmarkEnd w:id="0"/>
    </w:p>
    <w:p>
      <w:pPr>
        <w:tabs>
          <w:tab w:val="left" w:pos="709"/>
        </w:tabs>
        <w:spacing w:line="580" w:lineRule="exact"/>
        <w:ind w:firstLine="565" w:firstLineChars="176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第二条  </w:t>
      </w:r>
      <w:r>
        <w:rPr>
          <w:rFonts w:hint="eastAsia" w:ascii="仿宋_GB2312" w:hAnsi="仿宋" w:eastAsia="仿宋_GB2312"/>
          <w:sz w:val="32"/>
        </w:rPr>
        <w:t>邢台市市本级果品质量安全检测覆盖所辖21个县市区，检测目标和范围遵循“四主四辅”原则：以本地果品为主，以外来果品为辅；以果品生产基地为主，以批发市场、农贸市场和超市为辅；以鲜果为主，以坚果为辅；以四大（苹果、梨、板栗、核桃）、四特（葡萄、山楂、酸枣、大枣）果品为主，以其他果品为辅。</w:t>
      </w:r>
    </w:p>
    <w:p>
      <w:pPr>
        <w:tabs>
          <w:tab w:val="left" w:pos="709"/>
        </w:tabs>
        <w:spacing w:line="580" w:lineRule="exact"/>
        <w:ind w:firstLine="565" w:firstLineChars="176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>第三条</w:t>
      </w:r>
      <w:r>
        <w:rPr>
          <w:rFonts w:hint="eastAsia" w:ascii="仿宋_GB2312" w:hAnsi="仿宋" w:eastAsia="仿宋_GB2312"/>
          <w:sz w:val="32"/>
        </w:rPr>
        <w:t xml:space="preserve">  各县市区应建立100%覆盖乡镇或区域的果品质量安全监管机构，同时制定本年度本行政区域的果品质量安全监督管理计划，并结合当地实际情况进行抽检，将检测结果登记存档，动态掌握果品安全状况，及早发现风险隐患并及时上报。</w:t>
      </w:r>
    </w:p>
    <w:p>
      <w:pPr>
        <w:tabs>
          <w:tab w:val="left" w:pos="709"/>
        </w:tabs>
        <w:adjustRightInd w:val="0"/>
        <w:snapToGrid w:val="0"/>
        <w:spacing w:line="580" w:lineRule="exact"/>
        <w:ind w:firstLine="563" w:firstLineChars="176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      </w:t>
      </w:r>
    </w:p>
    <w:p>
      <w:pPr>
        <w:tabs>
          <w:tab w:val="left" w:pos="709"/>
        </w:tabs>
        <w:spacing w:line="580" w:lineRule="exact"/>
        <w:ind w:firstLine="565" w:firstLineChars="176"/>
        <w:jc w:val="center"/>
        <w:rPr>
          <w:rFonts w:hint="eastAsia"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第二章　抽检方法</w:t>
      </w:r>
    </w:p>
    <w:p>
      <w:pPr>
        <w:tabs>
          <w:tab w:val="left" w:pos="709"/>
        </w:tabs>
        <w:spacing w:line="580" w:lineRule="exact"/>
        <w:ind w:firstLine="565" w:firstLineChars="176"/>
        <w:jc w:val="center"/>
        <w:rPr>
          <w:rFonts w:hint="eastAsia" w:ascii="仿宋_GB2312" w:hAnsi="仿宋" w:eastAsia="仿宋_GB2312"/>
          <w:b/>
          <w:sz w:val="32"/>
        </w:rPr>
      </w:pPr>
    </w:p>
    <w:p>
      <w:pPr>
        <w:ind w:firstLine="645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第四条 </w:t>
      </w:r>
      <w:r>
        <w:rPr>
          <w:rFonts w:hint="eastAsia" w:ascii="仿宋_GB2312" w:hAnsi="仿宋" w:eastAsia="仿宋_GB2312"/>
          <w:sz w:val="32"/>
        </w:rPr>
        <w:t xml:space="preserve"> 检测方法以县级林业部门送检为主，市局现场抽检为辅。市局直接抽检主要面向核心产区、省级林果产业龙头企业和龙头合作组织、省级观光采摘园和廊交会果王争霸赛参赛单位。</w:t>
      </w:r>
    </w:p>
    <w:p>
      <w:pPr>
        <w:tabs>
          <w:tab w:val="left" w:pos="709"/>
        </w:tabs>
        <w:adjustRightInd w:val="0"/>
        <w:snapToGrid w:val="0"/>
        <w:spacing w:line="580" w:lineRule="exact"/>
        <w:ind w:firstLine="565" w:firstLineChars="176"/>
        <w:rPr>
          <w:rFonts w:hint="eastAsia"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b/>
          <w:sz w:val="32"/>
        </w:rPr>
        <w:t>第五条</w:t>
      </w:r>
      <w:r>
        <w:rPr>
          <w:rFonts w:hint="eastAsia" w:ascii="仿宋_GB2312" w:hAnsi="仿宋" w:eastAsia="仿宋_GB2312"/>
          <w:sz w:val="32"/>
        </w:rPr>
        <w:t xml:space="preserve">  省级抽检不计入市级抽检任务。市级送检的购样费用由县级林业部门先行垫付，由市局统一据实支付。</w:t>
      </w:r>
    </w:p>
    <w:p>
      <w:pPr>
        <w:spacing w:line="580" w:lineRule="exact"/>
        <w:ind w:firstLine="630" w:firstLineChars="196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第六条  </w:t>
      </w:r>
      <w:r>
        <w:rPr>
          <w:rFonts w:hint="eastAsia" w:ascii="仿宋_GB2312" w:hAnsi="仿宋" w:eastAsia="仿宋_GB2312"/>
          <w:sz w:val="32"/>
        </w:rPr>
        <w:t>各县市区每季度按任务表送检样品，其中产地果品不低于80%，来源于批发市场、超市的不高于20%。每个季度，各县市区可将样本集中一次或分散多次送市。为防止送检样品时间过于分散，市局固定于每月下旬接收报来的样品，请各县市区结合自身实际情况，按时送检。</w:t>
      </w:r>
    </w:p>
    <w:p>
      <w:pPr>
        <w:spacing w:line="580" w:lineRule="exact"/>
        <w:ind w:firstLine="565" w:firstLineChars="176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第七条  </w:t>
      </w:r>
      <w:r>
        <w:rPr>
          <w:rFonts w:hint="eastAsia" w:ascii="仿宋_GB2312" w:hAnsi="仿宋" w:eastAsia="仿宋_GB2312"/>
          <w:sz w:val="32"/>
        </w:rPr>
        <w:t>每份干果样本不少于1kg，每份鲜果样本不少于2kg，不得提前清洗或消毒，不得使用精包装。</w:t>
      </w:r>
    </w:p>
    <w:p>
      <w:pPr>
        <w:spacing w:line="580" w:lineRule="exact"/>
        <w:ind w:firstLine="563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>第八条</w:t>
      </w:r>
      <w:r>
        <w:rPr>
          <w:rFonts w:hint="eastAsia" w:ascii="仿宋_GB2312" w:hAnsi="仿宋" w:eastAsia="仿宋_GB2312"/>
          <w:sz w:val="32"/>
        </w:rPr>
        <w:t xml:space="preserve">  送检批次应同时填报《邢台市林业局果品抽检购样登记表》，坐标统一采用西安80坐标系六度带。</w:t>
      </w:r>
    </w:p>
    <w:p>
      <w:pPr>
        <w:spacing w:line="580" w:lineRule="exact"/>
        <w:ind w:firstLine="563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第九条  </w:t>
      </w:r>
      <w:r>
        <w:rPr>
          <w:rFonts w:hint="eastAsia" w:ascii="仿宋_GB2312" w:hAnsi="仿宋" w:eastAsia="仿宋_GB2312"/>
          <w:sz w:val="32"/>
        </w:rPr>
        <w:t>每批送检样品任意两个坐标点间距不得小于1市里；不同批次送检样品坐标位置不得雷同。</w:t>
      </w:r>
    </w:p>
    <w:p>
      <w:pPr>
        <w:adjustRightInd w:val="0"/>
        <w:snapToGrid w:val="0"/>
        <w:spacing w:line="580" w:lineRule="exact"/>
        <w:ind w:firstLine="565" w:firstLineChars="176"/>
        <w:jc w:val="center"/>
        <w:rPr>
          <w:rFonts w:hint="eastAsia" w:ascii="仿宋_GB2312" w:hAnsi="仿宋" w:eastAsia="仿宋_GB2312"/>
          <w:b/>
          <w:sz w:val="32"/>
        </w:rPr>
      </w:pPr>
    </w:p>
    <w:p>
      <w:pPr>
        <w:adjustRightInd w:val="0"/>
        <w:snapToGrid w:val="0"/>
        <w:spacing w:line="580" w:lineRule="exact"/>
        <w:ind w:firstLine="565" w:firstLineChars="176"/>
        <w:jc w:val="center"/>
        <w:rPr>
          <w:rFonts w:hint="eastAsia"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第</w:t>
      </w:r>
      <w:r>
        <w:rPr>
          <w:rFonts w:hint="eastAsia" w:ascii="仿宋_GB2312" w:hAnsi="仿宋" w:eastAsia="仿宋_GB2312"/>
          <w:b/>
          <w:sz w:val="32"/>
          <w:lang w:eastAsia="zh-CN"/>
        </w:rPr>
        <w:t>三</w:t>
      </w:r>
      <w:r>
        <w:rPr>
          <w:rFonts w:hint="eastAsia" w:ascii="仿宋_GB2312" w:hAnsi="仿宋" w:eastAsia="仿宋_GB2312"/>
          <w:b/>
          <w:sz w:val="32"/>
        </w:rPr>
        <w:t>章</w:t>
      </w:r>
      <w:r>
        <w:rPr>
          <w:rFonts w:hint="eastAsia" w:ascii="仿宋_GB2312" w:hAnsi="仿宋" w:eastAsia="仿宋_GB2312"/>
          <w:bCs/>
          <w:sz w:val="32"/>
        </w:rPr>
        <w:t>　</w:t>
      </w:r>
      <w:r>
        <w:rPr>
          <w:rFonts w:hint="eastAsia" w:ascii="仿宋_GB2312" w:hAnsi="仿宋" w:eastAsia="仿宋_GB2312"/>
          <w:b/>
          <w:sz w:val="32"/>
        </w:rPr>
        <w:t>考核方法</w:t>
      </w:r>
    </w:p>
    <w:p>
      <w:pPr>
        <w:ind w:firstLine="645"/>
        <w:rPr>
          <w:rFonts w:hint="eastAsia" w:ascii="仿宋_GB2312" w:hAnsi="仿宋" w:eastAsia="仿宋_GB2312"/>
          <w:b/>
          <w:color w:val="000000"/>
          <w:sz w:val="32"/>
        </w:rPr>
      </w:pPr>
    </w:p>
    <w:p>
      <w:pPr>
        <w:ind w:firstLine="645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color w:val="000000"/>
          <w:sz w:val="32"/>
        </w:rPr>
        <w:t xml:space="preserve">第十条  </w:t>
      </w:r>
      <w:r>
        <w:rPr>
          <w:rFonts w:hint="eastAsia" w:ascii="仿宋_GB2312" w:hAnsi="仿宋" w:eastAsia="仿宋_GB2312"/>
          <w:sz w:val="32"/>
        </w:rPr>
        <w:t>每季度结束后，我局将汇总抽检结果情况，并以林业信息形式上报省林业厅、市政府及市食安办。</w:t>
      </w:r>
    </w:p>
    <w:p>
      <w:pPr>
        <w:tabs>
          <w:tab w:val="left" w:pos="709"/>
        </w:tabs>
        <w:spacing w:line="580" w:lineRule="exact"/>
        <w:ind w:firstLine="565" w:firstLineChars="176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第十一条  </w:t>
      </w:r>
      <w:r>
        <w:rPr>
          <w:rFonts w:hint="eastAsia" w:ascii="仿宋_GB2312" w:hAnsi="仿宋" w:eastAsia="仿宋_GB2312"/>
          <w:sz w:val="32"/>
        </w:rPr>
        <w:t>对于没有按时完成送检任务的县市区，将给予通报批评，并计入当年市食安办考核事项。</w:t>
      </w:r>
    </w:p>
    <w:p>
      <w:pPr>
        <w:adjustRightInd w:val="0"/>
        <w:snapToGrid w:val="0"/>
        <w:spacing w:line="580" w:lineRule="exact"/>
        <w:rPr>
          <w:rFonts w:hint="eastAsia"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 xml:space="preserve">                           </w:t>
      </w:r>
    </w:p>
    <w:p>
      <w:pPr>
        <w:adjustRightInd w:val="0"/>
        <w:snapToGrid w:val="0"/>
        <w:spacing w:line="580" w:lineRule="exact"/>
        <w:ind w:firstLine="565" w:firstLineChars="176"/>
        <w:jc w:val="center"/>
        <w:rPr>
          <w:rFonts w:hint="eastAsia" w:ascii="仿宋_GB2312" w:hAnsi="仿宋" w:eastAsia="仿宋_GB2312"/>
          <w:b/>
          <w:sz w:val="32"/>
        </w:rPr>
      </w:pPr>
      <w:r>
        <w:rPr>
          <w:rFonts w:hint="eastAsia" w:ascii="仿宋_GB2312" w:hAnsi="仿宋" w:eastAsia="仿宋_GB2312"/>
          <w:b/>
          <w:sz w:val="32"/>
        </w:rPr>
        <w:t>第</w:t>
      </w:r>
      <w:r>
        <w:rPr>
          <w:rFonts w:hint="eastAsia" w:ascii="仿宋_GB2312" w:hAnsi="仿宋" w:eastAsia="仿宋_GB2312"/>
          <w:b/>
          <w:sz w:val="32"/>
          <w:lang w:eastAsia="zh-CN"/>
        </w:rPr>
        <w:t>四</w:t>
      </w:r>
      <w:r>
        <w:rPr>
          <w:rFonts w:hint="eastAsia" w:ascii="仿宋_GB2312" w:hAnsi="仿宋" w:eastAsia="仿宋_GB2312"/>
          <w:b/>
          <w:sz w:val="32"/>
        </w:rPr>
        <w:t>章 附则</w:t>
      </w:r>
    </w:p>
    <w:p>
      <w:pPr>
        <w:adjustRightInd w:val="0"/>
        <w:snapToGrid w:val="0"/>
        <w:spacing w:line="580" w:lineRule="exact"/>
        <w:ind w:firstLine="565" w:firstLineChars="176"/>
        <w:jc w:val="center"/>
        <w:rPr>
          <w:rFonts w:hint="eastAsia" w:ascii="仿宋_GB2312" w:hAnsi="仿宋" w:eastAsia="仿宋_GB2312"/>
          <w:b/>
          <w:sz w:val="32"/>
        </w:rPr>
      </w:pPr>
    </w:p>
    <w:p>
      <w:pPr>
        <w:spacing w:line="580" w:lineRule="exact"/>
        <w:ind w:firstLine="565" w:firstLineChars="176"/>
        <w:rPr>
          <w:rFonts w:hint="eastAsia"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b/>
          <w:color w:val="000000"/>
          <w:sz w:val="32"/>
        </w:rPr>
        <w:t xml:space="preserve">第十二条  </w:t>
      </w:r>
      <w:r>
        <w:rPr>
          <w:rFonts w:hint="eastAsia" w:ascii="仿宋_GB2312" w:hAnsi="仿宋" w:eastAsia="仿宋_GB2312"/>
          <w:color w:val="000000"/>
          <w:sz w:val="32"/>
        </w:rPr>
        <w:t>本办法自发文之日起实行。</w:t>
      </w:r>
    </w:p>
    <w:p>
      <w:pPr>
        <w:spacing w:line="580" w:lineRule="exact"/>
        <w:ind w:firstLine="563" w:firstLineChars="176"/>
        <w:rPr>
          <w:rFonts w:hint="eastAsia" w:ascii="仿宋_GB2312" w:hAnsi="仿宋" w:eastAsia="仿宋_GB2312"/>
          <w:color w:val="000000"/>
          <w:sz w:val="32"/>
        </w:rPr>
      </w:pPr>
    </w:p>
    <w:p>
      <w:pPr>
        <w:spacing w:line="580" w:lineRule="exact"/>
        <w:ind w:firstLine="563" w:firstLineChars="176"/>
        <w:rPr>
          <w:rFonts w:hint="eastAsia" w:ascii="仿宋_GB2312" w:hAnsi="仿宋" w:eastAsia="仿宋_GB2312"/>
          <w:color w:val="000000"/>
          <w:sz w:val="32"/>
        </w:rPr>
      </w:pPr>
    </w:p>
    <w:p>
      <w:pPr>
        <w:ind w:right="960" w:firstLine="640" w:firstLineChars="200"/>
        <w:jc w:val="right"/>
        <w:rPr>
          <w:rFonts w:hint="eastAsia" w:ascii="仿宋_GB2312" w:hAnsi="仿宋" w:eastAsia="仿宋_GB2312"/>
          <w:sz w:val="32"/>
        </w:rPr>
      </w:pPr>
    </w:p>
    <w:p>
      <w:pPr>
        <w:spacing w:line="580" w:lineRule="exact"/>
        <w:ind w:firstLine="563" w:firstLineChars="176"/>
        <w:rPr>
          <w:rFonts w:hint="eastAsia" w:ascii="仿宋_GB2312" w:hAnsi="仿宋" w:eastAsia="仿宋_GB2312"/>
          <w:sz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A"/>
    <w:rsid w:val="008D5A2F"/>
    <w:rsid w:val="00A164FA"/>
    <w:rsid w:val="00CC5174"/>
    <w:rsid w:val="181375B6"/>
    <w:rsid w:val="4C3435DA"/>
    <w:rsid w:val="749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character" w:customStyle="1" w:styleId="8">
    <w:name w:val="页眉 Char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Lisect.com</Company>
  <Pages>3</Pages>
  <Words>157</Words>
  <Characters>901</Characters>
  <Lines>7</Lines>
  <Paragraphs>2</Paragraphs>
  <TotalTime>0</TotalTime>
  <ScaleCrop>false</ScaleCrop>
  <LinksUpToDate>false</LinksUpToDate>
  <CharactersWithSpaces>1056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2018-01-29T02:19:00Z</dcterms:created>
  <dc:creator>Lisect</dc:creator>
  <cp:lastModifiedBy>Administrator</cp:lastModifiedBy>
  <dcterms:modified xsi:type="dcterms:W3CDTF">2018-01-29T02:25:42Z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