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/>
        </w:rPr>
      </w:pPr>
      <w:bookmarkStart w:id="0" w:name="_Toc28359009"/>
      <w:bookmarkStart w:id="1" w:name="_Toc28359086"/>
      <w:r>
        <w:rPr>
          <w:rFonts w:hint="eastAsia"/>
          <w:b/>
          <w:bCs/>
          <w:spacing w:val="-4"/>
          <w:sz w:val="28"/>
          <w:szCs w:val="28"/>
        </w:rPr>
        <w:t>文件须知前附表</w:t>
      </w:r>
    </w:p>
    <w:p>
      <w:pPr>
        <w:pStyle w:val="24"/>
        <w:ind w:left="0" w:leftChars="0" w:firstLine="0" w:firstLineChars="0"/>
        <w:rPr>
          <w:rFonts w:hint="eastAsia"/>
          <w:lang w:val="en-US" w:eastAsia="zh-CN"/>
        </w:rPr>
      </w:pPr>
    </w:p>
    <w:bookmarkEnd w:id="0"/>
    <w:bookmarkEnd w:id="1"/>
    <w:tbl>
      <w:tblPr>
        <w:tblStyle w:val="46"/>
        <w:tblW w:w="85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77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" w:hAnsi="宋体"/>
                <w:szCs w:val="21"/>
              </w:rPr>
            </w:pPr>
            <w:bookmarkStart w:id="2" w:name="_Toc161767419"/>
            <w:bookmarkStart w:id="3" w:name="_Toc16199"/>
            <w:bookmarkStart w:id="4" w:name="_Toc60763916"/>
            <w:bookmarkStart w:id="5" w:name="_Toc359837279"/>
            <w:bookmarkStart w:id="6" w:name="_Toc135998992"/>
            <w:bookmarkStart w:id="7" w:name="_Toc22783"/>
            <w:bookmarkStart w:id="8" w:name="_Toc20116"/>
            <w:r>
              <w:rPr>
                <w:rFonts w:hint="eastAsia" w:ascii="宋体" w:hAnsi="宋体"/>
                <w:szCs w:val="21"/>
              </w:rPr>
              <w:t>响应文件份数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纸质文件：正本一份，副本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77" w:type="dxa"/>
            <w:noWrap w:val="0"/>
            <w:vAlign w:val="top"/>
          </w:tcPr>
          <w:p>
            <w:pPr>
              <w:spacing w:line="35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签字及盖章要求</w:t>
            </w:r>
          </w:p>
        </w:tc>
        <w:tc>
          <w:tcPr>
            <w:tcW w:w="6279" w:type="dxa"/>
            <w:noWrap w:val="0"/>
            <w:vAlign w:val="top"/>
          </w:tcPr>
          <w:p>
            <w:pPr>
              <w:spacing w:line="35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SSJ-PK7482000002d-Identity-H"/>
                <w:kern w:val="0"/>
                <w:szCs w:val="21"/>
              </w:rPr>
              <w:t>按“响应文件格式”中指定的位置和要求</w:t>
            </w:r>
            <w:r>
              <w:rPr>
                <w:rFonts w:ascii="宋体" w:hAnsi="宋体" w:cs="SSJ-PK7482000002d-Identity-H"/>
                <w:kern w:val="0"/>
                <w:szCs w:val="21"/>
              </w:rPr>
              <w:t>签字</w:t>
            </w:r>
            <w:r>
              <w:rPr>
                <w:rFonts w:hint="eastAsia" w:ascii="宋体" w:hAnsi="宋体" w:cs="SSJ-PK7482000002d-Identity-H"/>
                <w:kern w:val="0"/>
                <w:szCs w:val="21"/>
              </w:rPr>
              <w:t>及</w:t>
            </w:r>
            <w:r>
              <w:rPr>
                <w:rFonts w:ascii="宋体" w:hAnsi="宋体" w:cs="SSJ-PK7482000002d-Identity-H"/>
                <w:kern w:val="0"/>
                <w:szCs w:val="21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77" w:type="dxa"/>
            <w:noWrap w:val="0"/>
            <w:vAlign w:val="top"/>
          </w:tcPr>
          <w:p>
            <w:pPr>
              <w:spacing w:line="35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7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 w:val="0"/>
                <w:bCs w:val="0"/>
                <w:strike w:val="0"/>
                <w:dstrike w:val="0"/>
                <w:color w:val="auto"/>
                <w:szCs w:val="21"/>
              </w:rPr>
              <w:t>供应商</w:t>
            </w:r>
            <w:r>
              <w:rPr>
                <w:rFonts w:hint="eastAsia"/>
                <w:b w:val="0"/>
                <w:bCs w:val="0"/>
                <w:strike w:val="0"/>
                <w:color w:val="auto"/>
                <w:szCs w:val="21"/>
              </w:rPr>
              <w:t>代</w:t>
            </w:r>
            <w:r>
              <w:rPr>
                <w:rFonts w:hint="eastAsia"/>
                <w:b w:val="0"/>
                <w:bCs w:val="0"/>
                <w:szCs w:val="21"/>
              </w:rPr>
              <w:t>表出席开标会：</w:t>
            </w:r>
          </w:p>
          <w:p>
            <w:pPr>
              <w:spacing w:line="44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采购</w:t>
            </w:r>
            <w:r>
              <w:rPr>
                <w:rFonts w:hint="eastAsia"/>
                <w:color w:val="auto"/>
                <w:szCs w:val="21"/>
                <w:lang w:eastAsia="zh-CN"/>
              </w:rPr>
              <w:t>人</w:t>
            </w:r>
            <w:r>
              <w:rPr>
                <w:rFonts w:hint="eastAsia"/>
                <w:szCs w:val="21"/>
              </w:rPr>
              <w:t>及所有</w:t>
            </w:r>
            <w:r>
              <w:rPr>
                <w:rFonts w:hint="eastAsia"/>
                <w:strike w:val="0"/>
                <w:dstrike w:val="0"/>
                <w:color w:val="auto"/>
                <w:szCs w:val="21"/>
              </w:rPr>
              <w:t>供应商</w:t>
            </w:r>
            <w:r>
              <w:rPr>
                <w:rFonts w:hint="eastAsia"/>
                <w:szCs w:val="21"/>
              </w:rPr>
              <w:t>的法定代表人或其授权代表参加开标会。</w:t>
            </w:r>
            <w:r>
              <w:rPr>
                <w:rFonts w:hint="eastAsia"/>
                <w:strike w:val="0"/>
                <w:dstrike w:val="0"/>
                <w:color w:val="auto"/>
                <w:szCs w:val="21"/>
              </w:rPr>
              <w:t>供应商</w:t>
            </w:r>
            <w:r>
              <w:rPr>
                <w:rFonts w:hint="eastAsia"/>
                <w:szCs w:val="21"/>
              </w:rPr>
              <w:t>的法定代表人或其授权代表应当按时参加开标会，并在采购人按开标程序进行点名时，现场向采购人提交以下证明资料，以证明其出席。未提交以下资料的，其响应文件将被拒收。</w:t>
            </w:r>
          </w:p>
          <w:p>
            <w:pPr>
              <w:spacing w:line="4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（1）法定代表人参加的，应提交法定代表人身份证明原件、本人身份证原件；</w:t>
            </w:r>
          </w:p>
          <w:p>
            <w:pPr>
              <w:spacing w:line="440" w:lineRule="exact"/>
              <w:rPr>
                <w:rFonts w:hint="eastAsia" w:ascii="宋体" w:hAnsi="宋体" w:eastAsia="宋体" w:cs="SSJ-PK7482000002d-Identity-H"/>
                <w:kern w:val="0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（2）授权代表参加的应提交法定代表人授权书原件、本人身份证原件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9" w:hRule="atLeast"/>
          <w:jc w:val="center"/>
        </w:trPr>
        <w:tc>
          <w:tcPr>
            <w:tcW w:w="2277" w:type="dxa"/>
            <w:noWrap w:val="0"/>
            <w:vAlign w:val="top"/>
          </w:tcPr>
          <w:p>
            <w:pPr>
              <w:spacing w:line="35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79" w:type="dxa"/>
            <w:noWrap w:val="0"/>
            <w:vAlign w:val="top"/>
          </w:tcPr>
          <w:p>
            <w:pPr>
              <w:pStyle w:val="23"/>
              <w:adjustRightInd w:val="0"/>
              <w:snapToGrid w:val="0"/>
              <w:spacing w:before="156" w:beforeLines="50" w:line="360" w:lineRule="auto"/>
              <w:ind w:firstLine="420" w:firstLineChars="200"/>
              <w:rPr>
                <w:rFonts w:hint="eastAsia" w:hAnsi="宋体"/>
              </w:rPr>
            </w:pPr>
            <w:r>
              <w:rPr>
                <w:rFonts w:hint="eastAsia" w:hAnsi="宋体"/>
              </w:rPr>
              <w:t>1</w:t>
            </w:r>
            <w:r>
              <w:rPr>
                <w:rFonts w:hint="eastAsia" w:hAnsi="宋体"/>
                <w:lang w:eastAsia="zh-CN"/>
              </w:rPr>
              <w:t>、</w:t>
            </w:r>
            <w:r>
              <w:rPr>
                <w:rFonts w:hint="eastAsia"/>
                <w:strike w:val="0"/>
                <w:dstrike w:val="0"/>
                <w:color w:val="auto"/>
                <w:szCs w:val="21"/>
              </w:rPr>
              <w:t>供应商</w:t>
            </w:r>
            <w:r>
              <w:rPr>
                <w:rFonts w:hint="eastAsia" w:hAnsi="宋体"/>
              </w:rPr>
              <w:t>应提供响应文件正本一份和</w:t>
            </w:r>
            <w:r>
              <w:rPr>
                <w:rFonts w:hint="eastAsia" w:ascii="宋体" w:hAnsi="宋体"/>
                <w:szCs w:val="21"/>
              </w:rPr>
              <w:t>副本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份</w:t>
            </w:r>
            <w:r>
              <w:rPr>
                <w:rFonts w:hint="eastAsia" w:hAnsi="宋体"/>
              </w:rPr>
              <w:t>。</w:t>
            </w:r>
            <w:r>
              <w:rPr>
                <w:rFonts w:hint="eastAsia" w:ascii=",Verdana,Arial" w:hAnsi=",Verdana,Arial"/>
              </w:rPr>
              <w:t>每份响应文件须</w:t>
            </w:r>
            <w:r>
              <w:rPr>
                <w:rFonts w:hint="eastAsia" w:hAnsi="宋体" w:cs="SSJ-PK7482000002d-Identity-H"/>
                <w:kern w:val="0"/>
              </w:rPr>
              <w:t>采用</w:t>
            </w:r>
            <w:r>
              <w:rPr>
                <w:rFonts w:hint="eastAsia" w:hAnsi="宋体" w:cs="E-BZ9-PK7483cf-Identity-H"/>
                <w:kern w:val="0"/>
              </w:rPr>
              <w:t>Ａ４</w:t>
            </w:r>
            <w:r>
              <w:rPr>
                <w:rFonts w:hint="eastAsia" w:hAnsi="宋体" w:cs="SSJ-PK7482000002d-Identity-H"/>
                <w:kern w:val="0"/>
              </w:rPr>
              <w:t>纸印刷</w:t>
            </w:r>
            <w:r>
              <w:rPr>
                <w:rFonts w:hint="eastAsia" w:hAnsi="宋体" w:cs="H-SS9-PK74820000032-Identity-H"/>
                <w:kern w:val="0"/>
              </w:rPr>
              <w:t>（</w:t>
            </w:r>
            <w:r>
              <w:rPr>
                <w:rFonts w:hint="eastAsia" w:hAnsi="宋体" w:cs="SSJ-PK7482000002d-Identity-H"/>
                <w:kern w:val="0"/>
              </w:rPr>
              <w:t>图表页可例外</w:t>
            </w:r>
            <w:r>
              <w:rPr>
                <w:rFonts w:hint="eastAsia" w:hAnsi="宋体" w:cs="H-SS9-PK74820000032-Identity-H"/>
                <w:kern w:val="0"/>
              </w:rPr>
              <w:t>），并</w:t>
            </w:r>
            <w:r>
              <w:rPr>
                <w:rFonts w:hint="eastAsia" w:hAnsi="宋体" w:cs="SSJ-PK7482000002d-Identity-H"/>
                <w:kern w:val="0"/>
              </w:rPr>
              <w:t>分别采用</w:t>
            </w:r>
            <w:r>
              <w:rPr>
                <w:rFonts w:hint="eastAsia" w:hAnsi="宋体" w:cs="SSJ-PK7482000002d-Identity-H"/>
                <w:b w:val="0"/>
                <w:bCs/>
                <w:kern w:val="0"/>
              </w:rPr>
              <w:t>胶装形式</w:t>
            </w:r>
            <w:r>
              <w:rPr>
                <w:rFonts w:hint="eastAsia" w:hAnsi="宋体" w:cs="SSJ-PK7482000002d-Identity-H"/>
                <w:kern w:val="0"/>
              </w:rPr>
              <w:t>装订成册</w:t>
            </w:r>
            <w:r>
              <w:rPr>
                <w:rFonts w:hint="eastAsia" w:hAnsi="宋体" w:cs="H-SS9-PK74820000032-Identity-H"/>
                <w:kern w:val="0"/>
              </w:rPr>
              <w:t>，</w:t>
            </w:r>
            <w:r>
              <w:rPr>
                <w:rFonts w:hint="eastAsia" w:hAnsi="宋体" w:cs="SSJ-PK7482000002d-Identity-H"/>
                <w:kern w:val="0"/>
              </w:rPr>
              <w:t>编制目录和页码，</w:t>
            </w:r>
            <w:r>
              <w:rPr>
                <w:rFonts w:hint="eastAsia" w:hAnsi="宋体" w:cs="SSJ-PK7482000002d-Identity-H"/>
                <w:kern w:val="0"/>
                <w:lang w:val="en-US" w:eastAsia="zh-CN"/>
              </w:rPr>
              <w:t>正、副本应</w:t>
            </w:r>
            <w:r>
              <w:rPr>
                <w:rFonts w:hint="eastAsia" w:hAnsi="宋体" w:cs="SSJ-PK7482000002d-Identity-H"/>
                <w:kern w:val="0"/>
              </w:rPr>
              <w:t>装于同一密封袋内</w:t>
            </w:r>
            <w:r>
              <w:rPr>
                <w:rFonts w:hint="eastAsia" w:hAnsi="宋体" w:cs="H-SS9-PK74820000032-Identity-H"/>
                <w:kern w:val="0"/>
                <w:lang w:eastAsia="zh-CN"/>
              </w:rPr>
              <w:t>。</w:t>
            </w:r>
            <w:r>
              <w:rPr>
                <w:rFonts w:hint="eastAsia" w:hAnsi="宋体"/>
              </w:rPr>
              <w:t>正本和副本的封面上应清楚地标记“正本”或“副本”的字样，当正本和副本有差异时，以正本为准。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20" w:firstLineChars="200"/>
              <w:textAlignment w:val="auto"/>
              <w:rPr>
                <w:rFonts w:hint="eastAsia" w:hAnsi="宋体"/>
              </w:rPr>
            </w:pPr>
            <w:r>
              <w:rPr>
                <w:rFonts w:hint="eastAsia" w:ascii="宋体"/>
                <w:szCs w:val="21"/>
                <w:lang w:val="zh-CN"/>
              </w:rPr>
              <w:t>2、 响应</w:t>
            </w:r>
            <w:r>
              <w:rPr>
                <w:rFonts w:hint="eastAsia" w:ascii=",Verdana,Arial" w:hAnsi=",Verdana,Arial"/>
                <w:szCs w:val="21"/>
              </w:rPr>
              <w:t>文件的正本需打印或用不退色墨水书写，并由供应商的法定代表人响应文件上签字及盖章），并盖单位章。授权代表签字的，须持有书面的“法定代表人授权书”（标准格式附后），并将其附在响应文件中。</w:t>
            </w:r>
            <w:r>
              <w:rPr>
                <w:rFonts w:hint="eastAsia" w:ascii="宋体" w:hAnsi="宋体"/>
              </w:rPr>
              <w:t>响应文件应尽量避免涂改、行间插字或删除。如果出现上述情况，</w:t>
            </w:r>
            <w:r>
              <w:rPr>
                <w:rFonts w:hint="eastAsia" w:ascii=",Verdana,Arial" w:hAnsi=",Verdana,Arial"/>
                <w:szCs w:val="21"/>
              </w:rPr>
              <w:t>改动之处应加盖单位章或由</w:t>
            </w:r>
            <w:r>
              <w:rPr>
                <w:rFonts w:hint="eastAsia" w:ascii="宋体"/>
                <w:szCs w:val="21"/>
                <w:lang w:val="zh-CN"/>
              </w:rPr>
              <w:t>供应商</w:t>
            </w:r>
            <w:r>
              <w:rPr>
                <w:rFonts w:hint="eastAsia" w:ascii=",Verdana,Arial" w:hAnsi=",Verdana,Arial"/>
                <w:szCs w:val="21"/>
              </w:rPr>
              <w:t>的法定代表人或经其正式授权的代表签字确认。</w:t>
            </w:r>
            <w:r>
              <w:rPr>
                <w:rFonts w:hint="eastAsia"/>
                <w:lang w:val="zh-CN"/>
              </w:rPr>
              <w:t>响应</w:t>
            </w:r>
            <w:r>
              <w:rPr>
                <w:rFonts w:hint="eastAsia" w:ascii=",Verdana,Arial" w:hAnsi=",Verdana,Arial"/>
              </w:rPr>
              <w:t>文件的副本可以是正本的复印件。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40" w:lineRule="exact"/>
              <w:jc w:val="both"/>
              <w:textAlignment w:val="auto"/>
              <w:rPr>
                <w:rFonts w:hint="eastAsia" w:ascii="宋体" w:hAnsi="宋体" w:cs="SSJ-PK7482000002d-Identity-H"/>
                <w:kern w:val="0"/>
                <w:szCs w:val="21"/>
              </w:rPr>
            </w:pPr>
            <w:r>
              <w:rPr>
                <w:rFonts w:hint="eastAsia" w:hAnsi="宋体"/>
              </w:rPr>
              <w:t>3</w:t>
            </w:r>
            <w:r>
              <w:rPr>
                <w:rFonts w:hint="eastAsia" w:hAnsi="宋体"/>
                <w:lang w:eastAsia="zh-CN"/>
              </w:rPr>
              <w:t>、</w:t>
            </w:r>
            <w:r>
              <w:rPr>
                <w:rFonts w:hint="eastAsia" w:hAnsi="宋体"/>
              </w:rPr>
              <w:t xml:space="preserve"> 在谈判过程中，应谈判小组要求而递交的补充或修改响应文件，可打印或用不退色墨水书写，但需经法定代表人或其</w:t>
            </w:r>
            <w:r>
              <w:rPr>
                <w:rFonts w:hint="eastAsia" w:ascii=",Verdana,Arial" w:hAnsi=",Verdana,Arial"/>
              </w:rPr>
              <w:t>正式授权的</w:t>
            </w:r>
            <w:r>
              <w:rPr>
                <w:rFonts w:hint="eastAsia" w:hAnsi="宋体"/>
              </w:rPr>
              <w:t>代表签字。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2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20" w:firstLineChars="200"/>
              <w:textAlignment w:val="auto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响应文件的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密封和标记</w:t>
            </w:r>
          </w:p>
        </w:tc>
        <w:tc>
          <w:tcPr>
            <w:tcW w:w="6279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20" w:lineRule="exact"/>
              <w:ind w:firstLine="420" w:firstLineChars="200"/>
              <w:textAlignment w:val="auto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</w:rPr>
              <w:t>响应文件应进行包装、加贴封条，并在封套的封口处加盖供应商单位章。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/>
          <w:b/>
          <w:bCs/>
          <w:color w:val="auto"/>
          <w:sz w:val="32"/>
          <w:szCs w:val="28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/>
          <w:b/>
          <w:bCs/>
          <w:color w:val="auto"/>
          <w:sz w:val="32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/>
          <w:b/>
          <w:bCs/>
          <w:color w:val="auto"/>
          <w:sz w:val="32"/>
          <w:szCs w:val="28"/>
        </w:rPr>
      </w:pPr>
      <w:r>
        <w:rPr>
          <w:rFonts w:hint="eastAsia"/>
          <w:b/>
          <w:bCs/>
          <w:color w:val="auto"/>
          <w:sz w:val="32"/>
          <w:szCs w:val="28"/>
        </w:rPr>
        <w:t>第一章</w:t>
      </w:r>
      <w:r>
        <w:rPr>
          <w:rFonts w:hint="eastAsia"/>
          <w:b/>
          <w:bCs/>
          <w:color w:val="auto"/>
          <w:sz w:val="32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32"/>
          <w:szCs w:val="28"/>
        </w:rPr>
        <w:t>用户需求书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2" w:firstLineChars="200"/>
        <w:textAlignment w:val="auto"/>
        <w:rPr>
          <w:rFonts w:hint="eastAsia" w:ascii="黑体" w:hAnsi="黑体" w:eastAsia="黑体" w:cs="黑体"/>
          <w:b/>
          <w:color w:val="auto"/>
          <w:spacing w:val="0"/>
          <w:sz w:val="28"/>
          <w:szCs w:val="28"/>
        </w:rPr>
      </w:pPr>
      <w:bookmarkStart w:id="9" w:name="_Toc212519553"/>
      <w:bookmarkEnd w:id="9"/>
      <w:bookmarkStart w:id="10" w:name="_Toc212520312"/>
      <w:bookmarkEnd w:id="10"/>
      <w:bookmarkStart w:id="11" w:name="_Toc212520245"/>
      <w:bookmarkEnd w:id="11"/>
      <w:bookmarkStart w:id="12" w:name="_Toc212521685"/>
      <w:bookmarkEnd w:id="12"/>
      <w:bookmarkStart w:id="13" w:name="_Toc212520315"/>
      <w:bookmarkEnd w:id="13"/>
      <w:bookmarkStart w:id="14" w:name="_Toc212519552"/>
      <w:bookmarkEnd w:id="14"/>
      <w:bookmarkStart w:id="15" w:name="_Toc212519374"/>
      <w:bookmarkEnd w:id="15"/>
      <w:bookmarkStart w:id="16" w:name="_Toc212521683"/>
      <w:bookmarkEnd w:id="16"/>
      <w:bookmarkStart w:id="17" w:name="_Toc212520098"/>
      <w:bookmarkEnd w:id="17"/>
      <w:bookmarkStart w:id="18" w:name="_Toc212521488"/>
      <w:bookmarkEnd w:id="18"/>
      <w:bookmarkStart w:id="19" w:name="_Toc212521485"/>
      <w:bookmarkEnd w:id="19"/>
      <w:bookmarkStart w:id="20" w:name="_Toc212521486"/>
      <w:bookmarkEnd w:id="20"/>
      <w:bookmarkStart w:id="21" w:name="_Toc212520864"/>
      <w:bookmarkEnd w:id="21"/>
      <w:bookmarkStart w:id="22" w:name="_Toc212520153"/>
      <w:bookmarkEnd w:id="22"/>
      <w:bookmarkStart w:id="23" w:name="_Toc212520366"/>
      <w:bookmarkEnd w:id="23"/>
      <w:bookmarkStart w:id="24" w:name="_Toc212521686"/>
      <w:bookmarkEnd w:id="24"/>
      <w:bookmarkStart w:id="25" w:name="_Toc212520311"/>
      <w:bookmarkEnd w:id="25"/>
      <w:bookmarkStart w:id="26" w:name="_Toc212519373"/>
      <w:bookmarkEnd w:id="26"/>
      <w:bookmarkStart w:id="27" w:name="_Toc212520860"/>
      <w:bookmarkEnd w:id="27"/>
      <w:bookmarkStart w:id="28" w:name="_Toc212519375"/>
      <w:bookmarkEnd w:id="28"/>
      <w:bookmarkStart w:id="29" w:name="_Toc212519550"/>
      <w:bookmarkEnd w:id="29"/>
      <w:bookmarkStart w:id="30" w:name="_Toc212520155"/>
      <w:bookmarkEnd w:id="30"/>
      <w:bookmarkStart w:id="31" w:name="_Toc212520859"/>
      <w:bookmarkEnd w:id="31"/>
      <w:bookmarkStart w:id="32" w:name="_Toc212520103"/>
      <w:bookmarkEnd w:id="32"/>
      <w:bookmarkStart w:id="33" w:name="_Toc212520150"/>
      <w:bookmarkEnd w:id="33"/>
      <w:bookmarkStart w:id="34" w:name="_Toc212521681"/>
      <w:bookmarkEnd w:id="34"/>
      <w:bookmarkStart w:id="35" w:name="_Toc212520105"/>
      <w:bookmarkEnd w:id="35"/>
      <w:bookmarkStart w:id="36" w:name="_Toc212520102"/>
      <w:bookmarkEnd w:id="36"/>
      <w:bookmarkStart w:id="37" w:name="_Toc212521487"/>
      <w:bookmarkEnd w:id="37"/>
      <w:bookmarkStart w:id="38" w:name="_Toc212521481"/>
      <w:bookmarkEnd w:id="38"/>
      <w:bookmarkStart w:id="39" w:name="_Toc212520242"/>
      <w:bookmarkEnd w:id="39"/>
      <w:bookmarkStart w:id="40" w:name="_Toc212520243"/>
      <w:bookmarkEnd w:id="40"/>
      <w:bookmarkStart w:id="41" w:name="_Toc212521682"/>
      <w:bookmarkEnd w:id="41"/>
      <w:bookmarkStart w:id="42" w:name="_Toc212520862"/>
      <w:bookmarkEnd w:id="42"/>
      <w:bookmarkStart w:id="43" w:name="_Toc212520362"/>
      <w:bookmarkEnd w:id="43"/>
      <w:bookmarkStart w:id="44" w:name="_Toc212519371"/>
      <w:bookmarkEnd w:id="44"/>
      <w:bookmarkStart w:id="45" w:name="_Toc212521483"/>
      <w:bookmarkEnd w:id="45"/>
      <w:bookmarkStart w:id="46" w:name="_Toc212520314"/>
      <w:bookmarkEnd w:id="46"/>
      <w:bookmarkStart w:id="47" w:name="_Toc212520363"/>
      <w:bookmarkEnd w:id="47"/>
      <w:bookmarkStart w:id="48" w:name="_Toc212520100"/>
      <w:bookmarkEnd w:id="48"/>
      <w:bookmarkStart w:id="49" w:name="_Toc212520365"/>
      <w:bookmarkEnd w:id="49"/>
      <w:bookmarkStart w:id="50" w:name="_Toc212519549"/>
      <w:bookmarkEnd w:id="50"/>
      <w:bookmarkStart w:id="51" w:name="_Toc212520317"/>
      <w:bookmarkEnd w:id="51"/>
      <w:bookmarkStart w:id="52" w:name="_Toc212520316"/>
      <w:bookmarkEnd w:id="52"/>
      <w:bookmarkStart w:id="53" w:name="_Toc212519372"/>
      <w:bookmarkEnd w:id="53"/>
      <w:bookmarkStart w:id="54" w:name="_Toc212520101"/>
      <w:bookmarkEnd w:id="54"/>
      <w:bookmarkStart w:id="55" w:name="_Toc212520152"/>
      <w:bookmarkEnd w:id="55"/>
      <w:bookmarkStart w:id="56" w:name="_Toc212520318"/>
      <w:bookmarkEnd w:id="56"/>
      <w:bookmarkStart w:id="57" w:name="_Toc212521484"/>
      <w:bookmarkEnd w:id="57"/>
      <w:bookmarkStart w:id="58" w:name="_Toc212520099"/>
      <w:bookmarkEnd w:id="58"/>
      <w:bookmarkStart w:id="59" w:name="_Toc212520313"/>
      <w:bookmarkEnd w:id="59"/>
      <w:bookmarkStart w:id="60" w:name="_Toc212520240"/>
      <w:bookmarkEnd w:id="60"/>
      <w:bookmarkStart w:id="61" w:name="_Toc212519554"/>
      <w:bookmarkEnd w:id="61"/>
      <w:bookmarkStart w:id="62" w:name="_Toc212520861"/>
      <w:bookmarkEnd w:id="62"/>
      <w:bookmarkStart w:id="63" w:name="_Toc212520151"/>
      <w:bookmarkEnd w:id="63"/>
      <w:bookmarkStart w:id="64" w:name="_Toc212520858"/>
      <w:bookmarkEnd w:id="64"/>
      <w:bookmarkStart w:id="65" w:name="_Toc212521678"/>
      <w:bookmarkEnd w:id="65"/>
      <w:bookmarkStart w:id="66" w:name="_Toc212521680"/>
      <w:bookmarkEnd w:id="66"/>
      <w:bookmarkStart w:id="67" w:name="_Toc212521482"/>
      <w:bookmarkEnd w:id="67"/>
      <w:bookmarkStart w:id="68" w:name="_Toc212520244"/>
      <w:bookmarkEnd w:id="68"/>
      <w:bookmarkStart w:id="69" w:name="_Toc212520247"/>
      <w:bookmarkEnd w:id="69"/>
      <w:bookmarkStart w:id="70" w:name="_Toc212520149"/>
      <w:bookmarkEnd w:id="70"/>
      <w:bookmarkStart w:id="71" w:name="_Toc212520368"/>
      <w:bookmarkEnd w:id="71"/>
      <w:bookmarkStart w:id="72" w:name="_Toc212520148"/>
      <w:bookmarkEnd w:id="72"/>
      <w:bookmarkStart w:id="73" w:name="_Toc212520246"/>
      <w:bookmarkEnd w:id="73"/>
      <w:bookmarkStart w:id="74" w:name="_Toc212519551"/>
      <w:bookmarkEnd w:id="74"/>
      <w:bookmarkStart w:id="75" w:name="_Toc212520361"/>
      <w:bookmarkEnd w:id="75"/>
      <w:bookmarkStart w:id="76" w:name="_Toc157406351"/>
      <w:bookmarkEnd w:id="76"/>
      <w:bookmarkStart w:id="77" w:name="_Toc212520863"/>
      <w:bookmarkEnd w:id="77"/>
      <w:bookmarkStart w:id="78" w:name="_Toc212521679"/>
      <w:bookmarkEnd w:id="78"/>
      <w:bookmarkStart w:id="79" w:name="_Toc212521684"/>
      <w:bookmarkEnd w:id="79"/>
      <w:bookmarkStart w:id="80" w:name="_Toc212520364"/>
      <w:bookmarkEnd w:id="80"/>
      <w:bookmarkStart w:id="81" w:name="_Toc212520367"/>
      <w:bookmarkEnd w:id="81"/>
      <w:bookmarkStart w:id="82" w:name="_Toc212520104"/>
      <w:bookmarkEnd w:id="82"/>
      <w:bookmarkStart w:id="83" w:name="_Toc212520241"/>
      <w:bookmarkEnd w:id="83"/>
      <w:bookmarkStart w:id="84" w:name="_Toc212520154"/>
      <w:bookmarkEnd w:id="84"/>
      <w:bookmarkStart w:id="85" w:name="_Toc212519555"/>
      <w:bookmarkEnd w:id="85"/>
      <w:bookmarkStart w:id="86" w:name="_Toc212520857"/>
      <w:bookmarkEnd w:id="86"/>
      <w:bookmarkStart w:id="87" w:name="_Toc212519556"/>
      <w:bookmarkEnd w:id="87"/>
      <w:bookmarkStart w:id="88" w:name="_Toc161767427"/>
      <w:bookmarkStart w:id="89" w:name="_Toc135999005"/>
      <w:bookmarkStart w:id="90" w:name="_Toc9340"/>
      <w:r>
        <w:rPr>
          <w:rFonts w:hint="eastAsia" w:ascii="黑体" w:hAnsi="黑体" w:eastAsia="黑体" w:cs="黑体"/>
          <w:b/>
          <w:color w:val="auto"/>
          <w:spacing w:val="0"/>
          <w:sz w:val="28"/>
          <w:szCs w:val="28"/>
        </w:rPr>
        <w:t>项目内容及技术需求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sz w:val="24"/>
          <w:szCs w:val="24"/>
        </w:rPr>
        <w:t>甲方</w:t>
      </w:r>
      <w:r>
        <w:rPr>
          <w:rFonts w:hint="eastAsia" w:ascii="宋体" w:hAnsi="宋体" w:cs="宋体"/>
          <w:b/>
          <w:bCs w:val="0"/>
          <w:color w:val="auto"/>
          <w:spacing w:val="0"/>
          <w:sz w:val="24"/>
          <w:szCs w:val="24"/>
          <w:lang w:eastAsia="zh-CN"/>
        </w:rPr>
        <w:t>（采购人）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sz w:val="24"/>
          <w:szCs w:val="24"/>
        </w:rPr>
        <w:t>提供条件：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spacing w:val="0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负责向乙方提供无人机作业区域、项目期限、起降点经纬度坐标、外业任务量及相关指标参数。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 xml:space="preserve">2.确定最佳作业、调机时间和作业区作业顺序。如作业顺序有变，应在原定调机时间前2天通知乙方，以便乙方做相应安排。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3.协调乙方在作业区开展无人机作业有关事宜。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4.及时开展无人机作业质量跟踪检查和督查，并及时将检查调查结果通报乙方，以便不断提高作业质量。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5.负责申请飞行区域空域。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spacing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本项目施工作业共计6万亩，每亩单价2.3元。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sz w:val="24"/>
          <w:szCs w:val="24"/>
        </w:rPr>
        <w:t>主要技术要求：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在2021年</w:t>
      </w:r>
      <w:r>
        <w:rPr>
          <w:rFonts w:hint="default" w:ascii="宋体" w:hAnsi="宋体" w:eastAsia="宋体" w:cs="宋体"/>
          <w:bCs/>
          <w:color w:val="auto"/>
          <w:spacing w:val="0"/>
          <w:sz w:val="24"/>
          <w:szCs w:val="24"/>
          <w:lang w:val="en-US"/>
        </w:rPr>
        <w:t>9</w:t>
      </w: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cs="宋体"/>
          <w:bCs/>
          <w:color w:val="auto"/>
          <w:spacing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日—2021年</w:t>
      </w:r>
      <w:r>
        <w:rPr>
          <w:rFonts w:hint="eastAsia" w:ascii="宋体" w:hAnsi="宋体" w:cs="宋体"/>
          <w:bCs/>
          <w:color w:val="auto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月2</w:t>
      </w:r>
      <w:r>
        <w:rPr>
          <w:rFonts w:hint="eastAsia" w:ascii="宋体" w:hAnsi="宋体" w:cs="宋体"/>
          <w:bCs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日期间，</w:t>
      </w:r>
      <w:r>
        <w:rPr>
          <w:rFonts w:hint="eastAsia" w:ascii="宋体" w:hAnsi="宋体" w:cs="宋体"/>
          <w:bCs/>
          <w:color w:val="auto"/>
          <w:spacing w:val="0"/>
          <w:sz w:val="24"/>
          <w:szCs w:val="24"/>
          <w:lang w:eastAsia="zh-CN"/>
        </w:rPr>
        <w:t>完成区域内无人机作业及内业任务。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当天影像数据采集任务完成后，调查成果应在3天内提交甲方。其中，普查成果提交材料包括疑似枯死木（含变色木）坐标点及图表信息；核查成果提交材料包括优于2cm的枯死树多视角照片和近距离枯死树视频资料（清晰度4k，格式rmvb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因其它不可抗拒原因（如空域申请受限，天气状况持续不佳等）导致的项目延期，甲乙双方不承担相关责任。如甲方的作业任务在上述区域基础上临时增加，应事先通知乙方。乙方应按照本合同约定继续执行，因此额外产生的作业费用遵从本合同收费规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sz w:val="24"/>
          <w:szCs w:val="24"/>
        </w:rPr>
        <w:t>需要提交以下工作成果：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1.疑似松材线虫病树木位置数据：提取出的疑似发生松材线虫病树木中心位置坐标列表清单（EXL格式），主要字段有序号、县、乡、村、经度、纬度等。坐标位置与实际准确坐标水平定位精度不超过1.2m，以便甲方后期检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2.普查成果资料：每架次航线设计数据；每架次航飞过程的POS信息；每架次航空摄影相片单片；优于10cm的每架次拼接处理完的正射影像图（GEOTIFF格式）；每架次变色立木分布图（JPEG格式，比例尺大于1：10000）；以及甲方后期外业核查时所需的相关数据（向导图等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3.核查成果资料：优于2cm的枯死树多视角照片；近距离枯死树视频资料（清晰度4k）；甲方外业核查时所需的相关数据（向导图等）。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</w:rPr>
        <w:t>4.本次合同的工作总结报告。主要包括组织与实施，分区作业计划及人员安排，影像数据获取与处理，疑似树木信息提取，结果分析结论与讨论等内容。</w:t>
      </w:r>
    </w:p>
    <w:bookmarkEnd w:id="88"/>
    <w:bookmarkEnd w:id="89"/>
    <w:bookmarkEnd w:id="90"/>
    <w:p>
      <w:pPr>
        <w:spacing w:line="240" w:lineRule="auto"/>
        <w:rPr>
          <w:rFonts w:hint="eastAsia" w:ascii="宋体" w:hAnsi="宋体" w:eastAsia="宋体" w:cs="宋体"/>
          <w:spacing w:val="0"/>
          <w:sz w:val="32"/>
          <w:szCs w:val="21"/>
        </w:rPr>
        <w:sectPr>
          <w:footerReference r:id="rId3" w:type="default"/>
          <w:pgSz w:w="11910" w:h="16840"/>
          <w:pgMar w:top="1417" w:right="1417" w:bottom="1417" w:left="1417" w:header="0" w:footer="1198" w:gutter="0"/>
          <w:pgNumType w:fmt="numberInDash"/>
          <w:cols w:space="720" w:num="1"/>
        </w:sectPr>
      </w:pPr>
      <w:r>
        <w:rPr>
          <w:rFonts w:hint="eastAsia" w:ascii="宋体" w:hAnsi="宋体" w:eastAsia="宋体" w:cs="宋体"/>
          <w:b/>
          <w:spacing w:val="0"/>
          <w:sz w:val="36"/>
        </w:rPr>
        <w:br w:type="page"/>
      </w:r>
    </w:p>
    <w:p>
      <w:pPr>
        <w:bidi w:val="0"/>
        <w:jc w:val="center"/>
        <w:outlineLvl w:val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章 评审方法</w:t>
      </w:r>
    </w:p>
    <w:p>
      <w:pPr>
        <w:pStyle w:val="19"/>
        <w:spacing w:before="152" w:line="360" w:lineRule="auto"/>
        <w:jc w:val="both"/>
        <w:rPr>
          <w:rFonts w:hint="eastAsia" w:ascii="宋体" w:hAnsi="宋体" w:eastAsia="宋体" w:cs="宋体"/>
          <w:b/>
          <w:bCs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sz w:val="28"/>
          <w:szCs w:val="28"/>
        </w:rPr>
        <w:t>附表 1：资格审查表</w:t>
      </w:r>
    </w:p>
    <w:tbl>
      <w:tblPr>
        <w:tblStyle w:val="46"/>
        <w:tblW w:w="10025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5614"/>
        <w:gridCol w:w="2654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62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61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审查项目</w:t>
            </w:r>
          </w:p>
        </w:tc>
        <w:tc>
          <w:tcPr>
            <w:tcW w:w="265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合格条件</w:t>
            </w:r>
          </w:p>
        </w:tc>
        <w:tc>
          <w:tcPr>
            <w:tcW w:w="113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62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614" w:type="dxa"/>
            <w:vAlign w:val="center"/>
          </w:tcPr>
          <w:p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营业执照、组织机构代码证、税务登记证（或三证合一的营业执照）</w:t>
            </w:r>
          </w:p>
        </w:tc>
        <w:tc>
          <w:tcPr>
            <w:tcW w:w="2654" w:type="dxa"/>
            <w:vAlign w:val="center"/>
          </w:tcPr>
          <w:p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有效原件，且将原件扫描件附在响应文件中</w:t>
            </w:r>
          </w:p>
        </w:tc>
        <w:tc>
          <w:tcPr>
            <w:tcW w:w="1135" w:type="dxa"/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  <w:jc w:val="center"/>
        </w:trPr>
        <w:tc>
          <w:tcPr>
            <w:tcW w:w="62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614" w:type="dxa"/>
            <w:vAlign w:val="center"/>
          </w:tcPr>
          <w:p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申请人信用良好，通过“信用中国”网站(www.creditchina.gov.cn) 、 中 国 政 府 采 购 网(www.ccgp.gov.cn)等渠道查询相关主体信用记录，若供应商存在不良记录（包含：失信被执行人名单、重大税收违法案件当事人名单、政府采购严重违法失信名单），则不允许参加本项目采购活动</w:t>
            </w:r>
          </w:p>
        </w:tc>
        <w:tc>
          <w:tcPr>
            <w:tcW w:w="2654" w:type="dxa"/>
            <w:vAlign w:val="center"/>
          </w:tcPr>
          <w:p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供应商需提供相关证明材料。</w:t>
            </w:r>
          </w:p>
        </w:tc>
        <w:tc>
          <w:tcPr>
            <w:tcW w:w="1135" w:type="dxa"/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62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614" w:type="dxa"/>
            <w:vAlign w:val="center"/>
          </w:tcPr>
          <w:p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供应商符合《中华人民共和国政府采购法》第二十二规定的承诺书</w:t>
            </w:r>
          </w:p>
        </w:tc>
        <w:tc>
          <w:tcPr>
            <w:tcW w:w="2654" w:type="dxa"/>
            <w:vAlign w:val="center"/>
          </w:tcPr>
          <w:p>
            <w:pPr>
              <w:bidi w:val="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格式自拟，加盖供应商公章、法定代表人签字并盖章；有效原件，且将</w:t>
            </w:r>
            <w:r>
              <w:rPr>
                <w:rFonts w:hint="eastAsia"/>
                <w:sz w:val="24"/>
                <w:szCs w:val="24"/>
                <w:lang w:eastAsia="zh-CN"/>
              </w:rPr>
              <w:t>原件扫描件附在相性文件中，否则为不合格。</w:t>
            </w:r>
          </w:p>
        </w:tc>
        <w:tc>
          <w:tcPr>
            <w:tcW w:w="1135" w:type="dxa"/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62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614" w:type="dxa"/>
            <w:vAlign w:val="center"/>
          </w:tcPr>
          <w:p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/>
                <w:sz w:val="24"/>
                <w:szCs w:val="24"/>
              </w:rPr>
              <w:t>定代表人证明或法定代表人授权委托书</w:t>
            </w:r>
          </w:p>
        </w:tc>
        <w:tc>
          <w:tcPr>
            <w:tcW w:w="2654" w:type="dxa"/>
            <w:vAlign w:val="center"/>
          </w:tcPr>
          <w:p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</w:t>
            </w:r>
            <w:r>
              <w:rPr>
                <w:rFonts w:hint="eastAsia"/>
                <w:sz w:val="24"/>
                <w:szCs w:val="24"/>
                <w:lang w:eastAsia="zh-CN"/>
              </w:rPr>
              <w:t>招标</w:t>
            </w:r>
            <w:r>
              <w:rPr>
                <w:rFonts w:hint="eastAsia"/>
                <w:sz w:val="24"/>
                <w:szCs w:val="24"/>
              </w:rPr>
              <w:t>文件要求</w:t>
            </w:r>
          </w:p>
        </w:tc>
        <w:tc>
          <w:tcPr>
            <w:tcW w:w="1135" w:type="dxa"/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025" w:type="dxa"/>
            <w:gridSpan w:val="4"/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结论：是否通过资格审查</w:t>
            </w:r>
          </w:p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36" w:type="dxa"/>
            <w:gridSpan w:val="2"/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bidi w:val="0"/>
        <w:jc w:val="both"/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  <w:lang w:val="en-US" w:eastAsia="zh-CN" w:bidi="ar-SA"/>
        </w:rPr>
      </w:pPr>
    </w:p>
    <w:tbl>
      <w:tblPr>
        <w:tblStyle w:val="46"/>
        <w:tblpPr w:leftFromText="180" w:rightFromText="180" w:vertAnchor="text" w:horzAnchor="page" w:tblpX="923" w:tblpY="616"/>
        <w:tblOverlap w:val="never"/>
        <w:tblW w:w="100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5537"/>
        <w:gridCol w:w="2673"/>
        <w:gridCol w:w="1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8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537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评审因素</w:t>
            </w:r>
          </w:p>
        </w:tc>
        <w:tc>
          <w:tcPr>
            <w:tcW w:w="2673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评审标准</w:t>
            </w:r>
          </w:p>
        </w:tc>
        <w:tc>
          <w:tcPr>
            <w:tcW w:w="1196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8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53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</w:t>
            </w:r>
          </w:p>
        </w:tc>
        <w:tc>
          <w:tcPr>
            <w:tcW w:w="2673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/>
                <w:sz w:val="24"/>
                <w:szCs w:val="24"/>
              </w:rPr>
              <w:t>报价不得超过采购预算，且报价唯一。</w:t>
            </w:r>
          </w:p>
        </w:tc>
        <w:tc>
          <w:tcPr>
            <w:tcW w:w="1196" w:type="dxa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8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537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响应文件签署</w:t>
            </w:r>
          </w:p>
        </w:tc>
        <w:tc>
          <w:tcPr>
            <w:tcW w:w="2673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</w:t>
            </w:r>
            <w:r>
              <w:rPr>
                <w:rFonts w:hint="eastAsia"/>
                <w:sz w:val="24"/>
                <w:szCs w:val="24"/>
                <w:lang w:eastAsia="zh-CN"/>
              </w:rPr>
              <w:t>招标</w:t>
            </w:r>
            <w:r>
              <w:rPr>
                <w:rFonts w:hint="eastAsia"/>
                <w:sz w:val="24"/>
                <w:szCs w:val="24"/>
              </w:rPr>
              <w:t>文件要求</w:t>
            </w:r>
          </w:p>
        </w:tc>
        <w:tc>
          <w:tcPr>
            <w:tcW w:w="1196" w:type="dxa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8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537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服务周期</w:t>
            </w:r>
          </w:p>
        </w:tc>
        <w:tc>
          <w:tcPr>
            <w:tcW w:w="2673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</w:t>
            </w:r>
            <w:r>
              <w:rPr>
                <w:rFonts w:hint="eastAsia"/>
                <w:sz w:val="24"/>
                <w:szCs w:val="24"/>
                <w:lang w:eastAsia="zh-CN"/>
              </w:rPr>
              <w:t>招标</w:t>
            </w:r>
            <w:r>
              <w:rPr>
                <w:rFonts w:hint="eastAsia"/>
                <w:sz w:val="24"/>
                <w:szCs w:val="24"/>
              </w:rPr>
              <w:t>文件要求</w:t>
            </w:r>
          </w:p>
        </w:tc>
        <w:tc>
          <w:tcPr>
            <w:tcW w:w="1196" w:type="dxa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8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537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质量标准</w:t>
            </w:r>
          </w:p>
        </w:tc>
        <w:tc>
          <w:tcPr>
            <w:tcW w:w="2673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</w:t>
            </w:r>
            <w:r>
              <w:rPr>
                <w:rFonts w:hint="eastAsia"/>
                <w:sz w:val="24"/>
                <w:szCs w:val="24"/>
                <w:lang w:eastAsia="zh-CN"/>
              </w:rPr>
              <w:t>招标</w:t>
            </w:r>
            <w:r>
              <w:rPr>
                <w:rFonts w:hint="eastAsia"/>
                <w:sz w:val="24"/>
                <w:szCs w:val="24"/>
              </w:rPr>
              <w:t>文件要求</w:t>
            </w:r>
          </w:p>
        </w:tc>
        <w:tc>
          <w:tcPr>
            <w:tcW w:w="1196" w:type="dxa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8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537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/>
                <w:sz w:val="24"/>
                <w:szCs w:val="24"/>
              </w:rPr>
              <w:t>有效期</w:t>
            </w:r>
          </w:p>
        </w:tc>
        <w:tc>
          <w:tcPr>
            <w:tcW w:w="2673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</w:t>
            </w:r>
            <w:r>
              <w:rPr>
                <w:rFonts w:hint="eastAsia"/>
                <w:sz w:val="24"/>
                <w:szCs w:val="24"/>
                <w:lang w:eastAsia="zh-CN"/>
              </w:rPr>
              <w:t>招标</w:t>
            </w:r>
            <w:r>
              <w:rPr>
                <w:rFonts w:hint="eastAsia"/>
                <w:sz w:val="24"/>
                <w:szCs w:val="24"/>
              </w:rPr>
              <w:t>文件要求</w:t>
            </w:r>
          </w:p>
        </w:tc>
        <w:tc>
          <w:tcPr>
            <w:tcW w:w="1196" w:type="dxa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8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537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响应文件技术部分是否符合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/>
                <w:sz w:val="24"/>
                <w:szCs w:val="24"/>
              </w:rPr>
              <w:t>文件规定的实质性要求</w:t>
            </w:r>
          </w:p>
        </w:tc>
        <w:tc>
          <w:tcPr>
            <w:tcW w:w="2673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</w:t>
            </w:r>
            <w:r>
              <w:rPr>
                <w:rFonts w:hint="eastAsia"/>
                <w:sz w:val="24"/>
                <w:szCs w:val="24"/>
                <w:lang w:eastAsia="zh-CN"/>
              </w:rPr>
              <w:t>招标</w:t>
            </w:r>
            <w:r>
              <w:rPr>
                <w:rFonts w:hint="eastAsia"/>
                <w:sz w:val="24"/>
                <w:szCs w:val="24"/>
              </w:rPr>
              <w:t>文件要求</w:t>
            </w:r>
          </w:p>
        </w:tc>
        <w:tc>
          <w:tcPr>
            <w:tcW w:w="1196" w:type="dxa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68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537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响应文件的其他方面是否符合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/>
                <w:sz w:val="24"/>
                <w:szCs w:val="24"/>
              </w:rPr>
              <w:t>文件规定的实质性要求</w:t>
            </w:r>
          </w:p>
        </w:tc>
        <w:tc>
          <w:tcPr>
            <w:tcW w:w="2673" w:type="dxa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</w:t>
            </w:r>
            <w:r>
              <w:rPr>
                <w:rFonts w:hint="eastAsia"/>
                <w:sz w:val="24"/>
                <w:szCs w:val="24"/>
                <w:lang w:eastAsia="zh-CN"/>
              </w:rPr>
              <w:t>招标</w:t>
            </w:r>
            <w:r>
              <w:rPr>
                <w:rFonts w:hint="eastAsia"/>
                <w:sz w:val="24"/>
                <w:szCs w:val="24"/>
              </w:rPr>
              <w:t>文件要求</w:t>
            </w:r>
          </w:p>
        </w:tc>
        <w:tc>
          <w:tcPr>
            <w:tcW w:w="1196" w:type="dxa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878" w:type="dxa"/>
            <w:gridSpan w:val="3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结论（是否通过）</w:t>
            </w:r>
          </w:p>
        </w:tc>
        <w:tc>
          <w:tcPr>
            <w:tcW w:w="1196" w:type="dxa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bidi w:val="0"/>
        <w:jc w:val="both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kern w:val="2"/>
          <w:sz w:val="28"/>
          <w:szCs w:val="28"/>
          <w:lang w:val="en-US" w:eastAsia="zh-CN" w:bidi="ar-SA"/>
        </w:rPr>
        <w:t>附表2：</w:t>
      </w:r>
      <w:r>
        <w:rPr>
          <w:rFonts w:hint="eastAsia" w:ascii="黑体" w:hAnsi="黑体" w:eastAsia="黑体" w:cs="黑体"/>
          <w:b/>
          <w:bCs/>
          <w:color w:val="auto"/>
          <w:spacing w:val="0"/>
          <w:kern w:val="2"/>
          <w:sz w:val="28"/>
          <w:szCs w:val="28"/>
          <w:lang w:val="zh-CN" w:eastAsia="zh-CN" w:bidi="ar-SA"/>
        </w:rPr>
        <w:t>符合性审查表</w:t>
      </w:r>
      <w:bookmarkStart w:id="91" w:name="_GoBack"/>
      <w:bookmarkEnd w:id="91"/>
    </w:p>
    <w:p>
      <w:pPr>
        <w:spacing w:before="46" w:line="417" w:lineRule="auto"/>
        <w:ind w:right="424" w:firstLine="480" w:firstLineChars="200"/>
        <w:jc w:val="left"/>
        <w:rPr>
          <w:rFonts w:hint="eastAsia" w:ascii="宋体" w:hAnsi="宋体" w:eastAsia="宋体" w:cs="宋体"/>
          <w:b/>
          <w:bCs/>
          <w:spacing w:val="0"/>
          <w:sz w:val="28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通过资格审查则进入符合性审查。不满足“符合性审查响应对照表”其中一项的，由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小组审查不予通过，合格的响应文件将进入下一步评审。</w:t>
      </w:r>
    </w:p>
    <w:p>
      <w:pPr>
        <w:pStyle w:val="19"/>
        <w:spacing w:before="56"/>
        <w:rPr>
          <w:rFonts w:hint="eastAsia" w:ascii="黑体" w:hAnsi="黑体" w:eastAsia="黑体" w:cs="黑体"/>
          <w:b/>
          <w:bCs/>
          <w:color w:val="FF0000"/>
          <w:spacing w:val="0"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8"/>
          <w:szCs w:val="24"/>
        </w:rPr>
        <w:t xml:space="preserve">附表 </w:t>
      </w:r>
      <w:r>
        <w:rPr>
          <w:rFonts w:hint="eastAsia" w:ascii="黑体" w:hAnsi="黑体" w:eastAsia="黑体" w:cs="黑体"/>
          <w:b/>
          <w:bCs/>
          <w:spacing w:val="0"/>
          <w:sz w:val="28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pacing w:val="0"/>
          <w:sz w:val="28"/>
          <w:szCs w:val="24"/>
        </w:rPr>
        <w:t>：综合评分标准评分表</w:t>
      </w:r>
    </w:p>
    <w:tbl>
      <w:tblPr>
        <w:tblStyle w:val="46"/>
        <w:tblW w:w="100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26"/>
        <w:gridCol w:w="6893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项目</w:t>
            </w:r>
          </w:p>
        </w:tc>
        <w:tc>
          <w:tcPr>
            <w:tcW w:w="8119" w:type="dxa"/>
            <w:gridSpan w:val="2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描述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价格分</w:t>
            </w: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分</w:t>
            </w:r>
          </w:p>
        </w:tc>
        <w:tc>
          <w:tcPr>
            <w:tcW w:w="8119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</w:rPr>
              <w:t>以所有有效最终报价的最低价为基准价。最终报价等于基准价得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</w:rPr>
              <w:t>分，其他供应商的价格分统一按照下列公式计算：报价得分=（评标基准价/最终报价）×价格权值（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</w:rPr>
              <w:t>%）×100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1" w:type="dxa"/>
            <w:vMerge w:val="restart"/>
            <w:vAlign w:val="center"/>
          </w:tcPr>
          <w:p>
            <w:pPr>
              <w:tabs>
                <w:tab w:val="left" w:pos="224"/>
                <w:tab w:val="center" w:pos="534"/>
              </w:tabs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</w:rPr>
              <w:t>技术部分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</w:rPr>
              <w:t>分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飞行监测方案</w:t>
            </w:r>
          </w:p>
        </w:tc>
        <w:tc>
          <w:tcPr>
            <w:tcW w:w="6893" w:type="dxa"/>
            <w:vAlign w:val="center"/>
          </w:tcPr>
          <w:p>
            <w:pPr>
              <w:pStyle w:val="126"/>
              <w:spacing w:line="361" w:lineRule="exact"/>
              <w:ind w:left="5" w:right="-15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无人机飞行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路线设计思路明确、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无人机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 xml:space="preserve">配备完善、数量充足，能够保证本项目及时、优质、优量、飞行安全和效果保障措施合理的，得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16-24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 xml:space="preserve"> 分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126"/>
              <w:spacing w:line="361" w:lineRule="exact"/>
              <w:ind w:left="5" w:right="-15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无人机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飞行路线、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无人机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 xml:space="preserve">配备完善、飞行安全和效果保障措施等基本表述的，得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8-16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分；</w:t>
            </w:r>
          </w:p>
          <w:p>
            <w:pPr>
              <w:pStyle w:val="126"/>
              <w:spacing w:line="361" w:lineRule="exact"/>
              <w:ind w:left="5" w:right="-15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无人机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飞行路线、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无人机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配备完善、飞行安全和效果保障措施表述模糊，但满足文件要求的，得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0-8分。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质量保证措施</w:t>
            </w:r>
          </w:p>
        </w:tc>
        <w:tc>
          <w:tcPr>
            <w:tcW w:w="6893" w:type="dxa"/>
            <w:vAlign w:val="center"/>
          </w:tcPr>
          <w:p>
            <w:pPr>
              <w:pStyle w:val="126"/>
              <w:spacing w:line="362" w:lineRule="exact"/>
              <w:ind w:left="6" w:right="-15"/>
              <w:rPr>
                <w:rFonts w:hint="default" w:ascii="宋体" w:hAnsi="宋体" w:eastAsia="宋体" w:cs="宋体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质量、安全保障措施指定科学合理，充分保证质量和安全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，得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10-15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质量、安全保障措施指定教科学合理，充分保证质量和安全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，得5-10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质量、安全保障措施一般，基本保证质量和安全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得，0-5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突发事件应急处置方案</w:t>
            </w:r>
          </w:p>
        </w:tc>
        <w:tc>
          <w:tcPr>
            <w:tcW w:w="6893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应急和突发事件处理措施完善、科学合理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应急和突发事件处理措施较完善、较合理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 xml:space="preserve"> 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应急和突发事件处理措施一般、基本满足需要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服务承诺</w:t>
            </w:r>
          </w:p>
        </w:tc>
        <w:tc>
          <w:tcPr>
            <w:tcW w:w="6893" w:type="dxa"/>
            <w:vAlign w:val="center"/>
          </w:tcPr>
          <w:p>
            <w:pPr>
              <w:pStyle w:val="126"/>
              <w:spacing w:line="362" w:lineRule="exact"/>
              <w:ind w:left="6" w:leftChars="0" w:right="-15" w:rightChars="0"/>
              <w:rPr>
                <w:rFonts w:hint="eastAsia" w:ascii="宋体" w:hAnsi="宋体" w:eastAsia="宋体" w:cs="宋体"/>
                <w:b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售后服承诺明确，保障措施完善、有力，响应时间短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5-10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售后服承诺一般，保障措施一般，响应时间长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得0-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分，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空域协调方案</w:t>
            </w:r>
          </w:p>
        </w:tc>
        <w:tc>
          <w:tcPr>
            <w:tcW w:w="6893" w:type="dxa"/>
            <w:vAlign w:val="center"/>
          </w:tcPr>
          <w:p>
            <w:pPr>
              <w:pStyle w:val="126"/>
              <w:spacing w:line="363" w:lineRule="exact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空域协调能力强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分，空域协调能力较强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分，空域协调能力一般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宋体"/>
                <w:color w:val="auto"/>
                <w:spacing w:val="0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未提供本项不得分；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企业业绩</w:t>
            </w:r>
          </w:p>
        </w:tc>
        <w:tc>
          <w:tcPr>
            <w:tcW w:w="6893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自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公司成立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至今承接的同类项目(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有害生物监测或防治类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 xml:space="preserve">项目)，每项得 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 xml:space="preserve"> 分，最高得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分。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企业综合实力</w:t>
            </w:r>
          </w:p>
        </w:tc>
        <w:tc>
          <w:tcPr>
            <w:tcW w:w="6893" w:type="dxa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投标人具有ISO9001质量管理体系认证证书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 xml:space="preserve">得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具有ISO14001环境管理体系认证证书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 xml:space="preserve">得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具有ISO45001职业健康安全管理体系认证证书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jc w:val="left"/>
              <w:rPr>
                <w:rFonts w:hint="default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具有五星售后服务认证证书的，得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jc w:val="left"/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须提供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扫描件，未提供本项不得分；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ind w:left="40" w:leftChars="19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分</w:t>
            </w:r>
          </w:p>
        </w:tc>
      </w:tr>
    </w:tbl>
    <w:p>
      <w:pPr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备注：</w:t>
      </w:r>
    </w:p>
    <w:p>
      <w:pPr>
        <w:bidi w:val="0"/>
        <w:ind w:firstLine="480" w:firstLineChars="20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1、证明材料</w:t>
      </w:r>
      <w:r>
        <w:rPr>
          <w:rFonts w:hint="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sz w:val="24"/>
          <w:szCs w:val="24"/>
        </w:rPr>
        <w:t>扫描件</w:t>
      </w:r>
      <w:r>
        <w:rPr>
          <w:rFonts w:hint="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/>
          <w:b w:val="0"/>
          <w:bCs w:val="0"/>
          <w:sz w:val="24"/>
          <w:szCs w:val="24"/>
        </w:rPr>
        <w:t>附在响应文件中，</w:t>
      </w:r>
      <w:r>
        <w:rPr>
          <w:rFonts w:hint="eastAsia"/>
          <w:b w:val="0"/>
          <w:bCs w:val="0"/>
          <w:sz w:val="24"/>
          <w:szCs w:val="24"/>
          <w:lang w:eastAsia="zh-CN"/>
        </w:rPr>
        <w:t>招标公司</w:t>
      </w:r>
      <w:r>
        <w:rPr>
          <w:rFonts w:hint="eastAsia"/>
          <w:b w:val="0"/>
          <w:bCs w:val="0"/>
          <w:sz w:val="24"/>
          <w:szCs w:val="24"/>
        </w:rPr>
        <w:t>对提供的证书、文件</w:t>
      </w:r>
      <w:r>
        <w:rPr>
          <w:rFonts w:hint="eastAsia"/>
          <w:b w:val="0"/>
          <w:bCs w:val="0"/>
          <w:sz w:val="24"/>
          <w:szCs w:val="24"/>
          <w:lang w:eastAsia="zh-CN"/>
        </w:rPr>
        <w:t>等</w:t>
      </w:r>
      <w:r>
        <w:rPr>
          <w:rFonts w:hint="eastAsia"/>
          <w:b w:val="0"/>
          <w:bCs w:val="0"/>
          <w:sz w:val="24"/>
          <w:szCs w:val="24"/>
        </w:rPr>
        <w:t xml:space="preserve">真实性负责。     </w:t>
      </w:r>
    </w:p>
    <w:p>
      <w:pPr>
        <w:bidi w:val="0"/>
        <w:ind w:firstLine="480" w:firstLineChars="20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2、在评审过程中，</w:t>
      </w:r>
      <w:r>
        <w:rPr>
          <w:rFonts w:hint="eastAsia"/>
          <w:b w:val="0"/>
          <w:bCs w:val="0"/>
          <w:sz w:val="24"/>
          <w:szCs w:val="24"/>
          <w:lang w:eastAsia="zh-CN"/>
        </w:rPr>
        <w:t>招标</w:t>
      </w:r>
      <w:r>
        <w:rPr>
          <w:rFonts w:hint="eastAsia"/>
          <w:b w:val="0"/>
          <w:bCs w:val="0"/>
          <w:sz w:val="24"/>
          <w:szCs w:val="24"/>
        </w:rPr>
        <w:t>小组认为供应商的报价明显低于其他通过符合性审查供应商的报价，有可能影响产品质量或者不能诚信履约的，应当要求其在评审现场合理的时间内提供书面说明，必要时提交相关证明材料;供应商不能证明其报价合理性的，</w:t>
      </w:r>
      <w:r>
        <w:rPr>
          <w:rFonts w:hint="eastAsia"/>
          <w:b w:val="0"/>
          <w:bCs w:val="0"/>
          <w:sz w:val="24"/>
          <w:szCs w:val="24"/>
          <w:lang w:eastAsia="zh-CN"/>
        </w:rPr>
        <w:t>招标</w:t>
      </w:r>
      <w:r>
        <w:rPr>
          <w:rFonts w:hint="eastAsia"/>
          <w:b w:val="0"/>
          <w:bCs w:val="0"/>
          <w:sz w:val="24"/>
          <w:szCs w:val="24"/>
        </w:rPr>
        <w:t>小组应当将其作为无效处理。</w:t>
      </w:r>
    </w:p>
    <w:p>
      <w:pPr>
        <w:bidi w:val="0"/>
        <w:spacing w:line="360" w:lineRule="auto"/>
        <w:ind w:firstLine="480" w:firstLineChars="200"/>
        <w:rPr>
          <w:rFonts w:hint="eastAsia" w:ascii="黑体" w:hAnsi="黑体" w:eastAsia="黑体" w:cs="黑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评审报告、确定成交候选人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3.1</w:t>
      </w:r>
      <w:r>
        <w:rPr>
          <w:rFonts w:hint="eastAsia" w:ascii="楷体" w:hAnsi="楷体" w:eastAsia="楷体" w:cs="楷体"/>
          <w:sz w:val="24"/>
          <w:szCs w:val="24"/>
        </w:rPr>
        <w:t>评审报告</w:t>
      </w:r>
      <w:r>
        <w:rPr>
          <w:rFonts w:hint="eastAsia"/>
          <w:sz w:val="24"/>
          <w:szCs w:val="24"/>
        </w:rPr>
        <w:t xml:space="preserve"> 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评审</w:t>
      </w:r>
      <w:r>
        <w:rPr>
          <w:rFonts w:hint="eastAsia"/>
          <w:sz w:val="24"/>
          <w:szCs w:val="24"/>
        </w:rPr>
        <w:t>小组完成评审后，应当提出书面评审报告</w:t>
      </w:r>
      <w:r>
        <w:rPr>
          <w:rFonts w:hint="eastAsia"/>
          <w:sz w:val="24"/>
          <w:szCs w:val="24"/>
          <w:lang w:val="en-US" w:eastAsia="zh-CN"/>
        </w:rPr>
        <w:t>以备留存</w:t>
      </w:r>
      <w:r>
        <w:rPr>
          <w:rFonts w:hint="eastAsia"/>
          <w:sz w:val="24"/>
          <w:szCs w:val="24"/>
        </w:rPr>
        <w:t>，并抄送有关行政监督部门备案。评审报告应当由全体</w:t>
      </w:r>
      <w:r>
        <w:rPr>
          <w:rFonts w:hint="eastAsia"/>
          <w:sz w:val="24"/>
          <w:szCs w:val="24"/>
          <w:lang w:eastAsia="zh-CN"/>
        </w:rPr>
        <w:t>招标</w:t>
      </w:r>
      <w:r>
        <w:rPr>
          <w:rFonts w:hint="eastAsia"/>
          <w:sz w:val="24"/>
          <w:szCs w:val="24"/>
        </w:rPr>
        <w:t>小组成员签字。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3.2评审</w:t>
      </w:r>
      <w:r>
        <w:rPr>
          <w:rFonts w:hint="eastAsia"/>
          <w:sz w:val="24"/>
          <w:szCs w:val="24"/>
        </w:rPr>
        <w:t xml:space="preserve">小组应遵照以下原则推荐成交候选人： 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3.2.1 评审</w:t>
      </w:r>
      <w:r>
        <w:rPr>
          <w:rFonts w:hint="eastAsia"/>
          <w:sz w:val="24"/>
          <w:szCs w:val="24"/>
        </w:rPr>
        <w:t>小组按总得分由高至低的顺序，推荐排名前三名的供应商为成交候选人。如出现得分并列第一名的情况，则报价低的供应商排序在前；如报价也一样，技术标打分高的供应商排序在前。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3.2.2 </w:t>
      </w:r>
      <w:r>
        <w:rPr>
          <w:rFonts w:hint="eastAsia"/>
          <w:sz w:val="24"/>
          <w:szCs w:val="24"/>
        </w:rPr>
        <w:t>如果</w:t>
      </w:r>
      <w:r>
        <w:rPr>
          <w:rFonts w:hint="eastAsia"/>
          <w:sz w:val="24"/>
          <w:szCs w:val="24"/>
          <w:lang w:val="en-US" w:eastAsia="zh-CN"/>
        </w:rPr>
        <w:t>评审</w:t>
      </w:r>
      <w:r>
        <w:rPr>
          <w:rFonts w:hint="eastAsia"/>
          <w:sz w:val="24"/>
          <w:szCs w:val="24"/>
        </w:rPr>
        <w:t>小组根据本办法的规定，否决不合格响应文件或者界定为无效响应文件后，有效供应商不足三家时，此次</w:t>
      </w:r>
      <w:r>
        <w:rPr>
          <w:rFonts w:hint="eastAsia"/>
          <w:sz w:val="24"/>
          <w:szCs w:val="24"/>
          <w:lang w:val="en-US" w:eastAsia="zh-CN"/>
        </w:rPr>
        <w:t>招标</w:t>
      </w:r>
      <w:r>
        <w:rPr>
          <w:rFonts w:hint="eastAsia"/>
          <w:sz w:val="24"/>
          <w:szCs w:val="24"/>
        </w:rPr>
        <w:t>失败。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3.2.3 </w:t>
      </w:r>
      <w:r>
        <w:rPr>
          <w:rFonts w:hint="eastAsia"/>
          <w:sz w:val="24"/>
          <w:szCs w:val="24"/>
        </w:rPr>
        <w:t>递交响应文件的供应商数量少于三个时，采购人应当依法重新进行</w:t>
      </w:r>
      <w:r>
        <w:rPr>
          <w:rFonts w:hint="eastAsia"/>
          <w:sz w:val="24"/>
          <w:szCs w:val="24"/>
          <w:lang w:eastAsia="zh-CN"/>
        </w:rPr>
        <w:t>招标</w:t>
      </w:r>
      <w:r>
        <w:rPr>
          <w:rFonts w:hint="eastAsia"/>
          <w:sz w:val="24"/>
          <w:szCs w:val="24"/>
        </w:rPr>
        <w:t>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3.2.4 </w:t>
      </w:r>
      <w:r>
        <w:rPr>
          <w:rFonts w:hint="eastAsia"/>
          <w:sz w:val="24"/>
          <w:szCs w:val="24"/>
        </w:rPr>
        <w:t>确定成交供应商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经采购人授权</w:t>
      </w:r>
      <w:r>
        <w:rPr>
          <w:rFonts w:hint="eastAsia"/>
          <w:sz w:val="24"/>
          <w:szCs w:val="24"/>
          <w:lang w:val="en-US" w:eastAsia="zh-CN"/>
        </w:rPr>
        <w:t>评审</w:t>
      </w:r>
      <w:r>
        <w:rPr>
          <w:rFonts w:hint="eastAsia"/>
          <w:sz w:val="24"/>
          <w:szCs w:val="24"/>
        </w:rPr>
        <w:t>小组可确定排名第一的成交候选人为成交供应商。采购人根据</w:t>
      </w:r>
      <w:r>
        <w:rPr>
          <w:rFonts w:hint="eastAsia"/>
          <w:sz w:val="24"/>
          <w:szCs w:val="24"/>
          <w:lang w:val="en-US" w:eastAsia="zh-CN"/>
        </w:rPr>
        <w:t>评审</w:t>
      </w:r>
      <w:r>
        <w:rPr>
          <w:rFonts w:hint="eastAsia"/>
          <w:sz w:val="24"/>
          <w:szCs w:val="24"/>
        </w:rPr>
        <w:t>小组确认的评审结果，在</w:t>
      </w:r>
      <w:r>
        <w:rPr>
          <w:rFonts w:hint="eastAsia"/>
          <w:sz w:val="24"/>
          <w:szCs w:val="24"/>
          <w:lang w:val="en-US" w:eastAsia="zh-CN"/>
        </w:rPr>
        <w:t>邢台市林业局内部网站</w:t>
      </w:r>
      <w:r>
        <w:rPr>
          <w:rFonts w:hint="eastAsia"/>
          <w:sz w:val="24"/>
          <w:szCs w:val="24"/>
        </w:rPr>
        <w:t>公告，并向成交供应商发出成交通知书。</w:t>
      </w:r>
    </w:p>
    <w:p>
      <w:pPr>
        <w:pStyle w:val="108"/>
        <w:numPr>
          <w:ilvl w:val="0"/>
          <w:numId w:val="0"/>
        </w:numPr>
        <w:tabs>
          <w:tab w:val="left" w:pos="620"/>
        </w:tabs>
        <w:spacing w:before="175" w:after="0" w:line="417" w:lineRule="auto"/>
        <w:ind w:right="-50" w:rightChars="0" w:firstLine="480" w:firstLineChars="200"/>
        <w:jc w:val="left"/>
        <w:rPr>
          <w:rFonts w:hint="eastAsia" w:ascii="宋体" w:hAnsi="宋体" w:eastAsia="宋体" w:cs="宋体"/>
          <w:color w:val="C00000"/>
          <w:spacing w:val="0"/>
          <w:sz w:val="24"/>
          <w:szCs w:val="24"/>
        </w:rPr>
      </w:pPr>
    </w:p>
    <w:p>
      <w:pPr>
        <w:pStyle w:val="108"/>
        <w:numPr>
          <w:ilvl w:val="0"/>
          <w:numId w:val="0"/>
        </w:numPr>
        <w:tabs>
          <w:tab w:val="left" w:pos="620"/>
        </w:tabs>
        <w:spacing w:before="175" w:after="0" w:line="417" w:lineRule="auto"/>
        <w:ind w:right="-50" w:rightChars="0" w:firstLine="480" w:firstLineChars="200"/>
        <w:jc w:val="left"/>
        <w:rPr>
          <w:rFonts w:hint="eastAsia" w:ascii="宋体" w:hAnsi="宋体" w:eastAsia="宋体" w:cs="宋体"/>
          <w:color w:val="C00000"/>
          <w:spacing w:val="0"/>
          <w:sz w:val="24"/>
          <w:szCs w:val="24"/>
        </w:rPr>
      </w:pPr>
    </w:p>
    <w:p>
      <w:pPr>
        <w:pStyle w:val="108"/>
        <w:numPr>
          <w:ilvl w:val="0"/>
          <w:numId w:val="0"/>
        </w:numPr>
        <w:tabs>
          <w:tab w:val="left" w:pos="620"/>
        </w:tabs>
        <w:spacing w:before="175" w:after="0" w:line="417" w:lineRule="auto"/>
        <w:ind w:right="-50" w:rightChars="0" w:firstLine="480" w:firstLineChars="200"/>
        <w:jc w:val="left"/>
        <w:rPr>
          <w:rFonts w:hint="eastAsia" w:ascii="宋体" w:hAnsi="宋体" w:eastAsia="宋体" w:cs="宋体"/>
          <w:color w:val="C00000"/>
          <w:spacing w:val="0"/>
          <w:sz w:val="24"/>
          <w:szCs w:val="24"/>
        </w:rPr>
      </w:pPr>
    </w:p>
    <w:p>
      <w:pPr>
        <w:pStyle w:val="108"/>
        <w:numPr>
          <w:ilvl w:val="0"/>
          <w:numId w:val="0"/>
        </w:numPr>
        <w:tabs>
          <w:tab w:val="left" w:pos="620"/>
        </w:tabs>
        <w:spacing w:before="175" w:after="0" w:line="417" w:lineRule="auto"/>
        <w:ind w:right="-50" w:rightChars="0" w:firstLine="480" w:firstLineChars="200"/>
        <w:jc w:val="left"/>
        <w:rPr>
          <w:rFonts w:hint="eastAsia" w:ascii="宋体" w:hAnsi="宋体" w:eastAsia="宋体" w:cs="宋体"/>
          <w:color w:val="C00000"/>
          <w:spacing w:val="0"/>
          <w:sz w:val="24"/>
          <w:szCs w:val="24"/>
        </w:rPr>
      </w:pPr>
    </w:p>
    <w:p>
      <w:pPr>
        <w:pStyle w:val="108"/>
        <w:numPr>
          <w:ilvl w:val="0"/>
          <w:numId w:val="0"/>
        </w:numPr>
        <w:tabs>
          <w:tab w:val="left" w:pos="620"/>
        </w:tabs>
        <w:spacing w:before="175" w:after="0" w:line="417" w:lineRule="auto"/>
        <w:ind w:right="-50" w:rightChars="0" w:firstLine="480" w:firstLineChars="200"/>
        <w:jc w:val="left"/>
        <w:rPr>
          <w:rFonts w:hint="eastAsia" w:ascii="宋体" w:hAnsi="宋体" w:eastAsia="宋体" w:cs="宋体"/>
          <w:color w:val="C00000"/>
          <w:spacing w:val="0"/>
          <w:sz w:val="24"/>
          <w:szCs w:val="24"/>
        </w:rPr>
      </w:pPr>
    </w:p>
    <w:p>
      <w:pPr>
        <w:pStyle w:val="108"/>
        <w:numPr>
          <w:ilvl w:val="0"/>
          <w:numId w:val="0"/>
        </w:numPr>
        <w:tabs>
          <w:tab w:val="left" w:pos="620"/>
        </w:tabs>
        <w:spacing w:before="175" w:after="0" w:line="417" w:lineRule="auto"/>
        <w:ind w:right="-50" w:rightChars="0" w:firstLine="480" w:firstLineChars="200"/>
        <w:jc w:val="left"/>
        <w:rPr>
          <w:rFonts w:hint="eastAsia" w:ascii="宋体" w:hAnsi="宋体" w:eastAsia="宋体" w:cs="宋体"/>
          <w:color w:val="C00000"/>
          <w:spacing w:val="0"/>
          <w:sz w:val="24"/>
          <w:szCs w:val="24"/>
        </w:rPr>
      </w:pPr>
    </w:p>
    <w:p>
      <w:pPr>
        <w:pStyle w:val="108"/>
        <w:numPr>
          <w:ilvl w:val="0"/>
          <w:numId w:val="0"/>
        </w:numPr>
        <w:tabs>
          <w:tab w:val="left" w:pos="620"/>
        </w:tabs>
        <w:spacing w:before="175" w:after="0" w:line="417" w:lineRule="auto"/>
        <w:ind w:right="-50" w:rightChars="0" w:firstLine="480" w:firstLineChars="200"/>
        <w:jc w:val="left"/>
        <w:rPr>
          <w:rFonts w:hint="eastAsia" w:ascii="宋体" w:hAnsi="宋体" w:eastAsia="宋体" w:cs="宋体"/>
          <w:color w:val="C00000"/>
          <w:spacing w:val="0"/>
          <w:sz w:val="24"/>
          <w:szCs w:val="24"/>
        </w:rPr>
      </w:pPr>
    </w:p>
    <w:p>
      <w:pPr>
        <w:pStyle w:val="108"/>
        <w:numPr>
          <w:ilvl w:val="0"/>
          <w:numId w:val="0"/>
        </w:numPr>
        <w:tabs>
          <w:tab w:val="left" w:pos="620"/>
        </w:tabs>
        <w:spacing w:before="175" w:after="0" w:line="417" w:lineRule="auto"/>
        <w:ind w:right="-50" w:rightChars="0" w:firstLine="480" w:firstLineChars="200"/>
        <w:jc w:val="left"/>
        <w:rPr>
          <w:rFonts w:hint="eastAsia" w:ascii="宋体" w:hAnsi="宋体" w:eastAsia="宋体" w:cs="宋体"/>
          <w:color w:val="C00000"/>
          <w:spacing w:val="0"/>
          <w:sz w:val="24"/>
          <w:szCs w:val="24"/>
        </w:rPr>
      </w:pPr>
    </w:p>
    <w:p>
      <w:pPr>
        <w:pStyle w:val="108"/>
        <w:numPr>
          <w:ilvl w:val="0"/>
          <w:numId w:val="0"/>
        </w:numPr>
        <w:tabs>
          <w:tab w:val="left" w:pos="620"/>
        </w:tabs>
        <w:spacing w:before="175" w:after="0" w:line="417" w:lineRule="auto"/>
        <w:ind w:right="-50" w:rightChars="0" w:firstLine="480" w:firstLineChars="200"/>
        <w:jc w:val="left"/>
        <w:rPr>
          <w:rFonts w:hint="eastAsia" w:ascii="宋体" w:hAnsi="宋体" w:eastAsia="宋体" w:cs="宋体"/>
          <w:color w:val="C00000"/>
          <w:spacing w:val="0"/>
          <w:sz w:val="24"/>
          <w:szCs w:val="24"/>
        </w:rPr>
      </w:pPr>
    </w:p>
    <w:p>
      <w:pPr>
        <w:pStyle w:val="108"/>
        <w:numPr>
          <w:ilvl w:val="0"/>
          <w:numId w:val="0"/>
        </w:numPr>
        <w:tabs>
          <w:tab w:val="left" w:pos="620"/>
        </w:tabs>
        <w:spacing w:before="175" w:after="0" w:line="417" w:lineRule="auto"/>
        <w:ind w:right="-50" w:rightChars="0" w:firstLine="480" w:firstLineChars="200"/>
        <w:jc w:val="left"/>
        <w:rPr>
          <w:rFonts w:hint="eastAsia" w:ascii="宋体" w:hAnsi="宋体" w:eastAsia="宋体" w:cs="宋体"/>
          <w:color w:val="C00000"/>
          <w:spacing w:val="0"/>
          <w:sz w:val="24"/>
          <w:szCs w:val="24"/>
        </w:rPr>
      </w:pPr>
    </w:p>
    <w:p>
      <w:pPr>
        <w:spacing w:before="130"/>
        <w:ind w:left="615" w:right="566" w:firstLine="0"/>
        <w:jc w:val="center"/>
        <w:outlineLvl w:val="0"/>
        <w:rPr>
          <w:rFonts w:hint="eastAsia" w:ascii="宋体" w:hAnsi="宋体" w:eastAsia="宋体" w:cs="宋体"/>
          <w:b/>
          <w:spacing w:val="0"/>
          <w:sz w:val="36"/>
        </w:rPr>
      </w:pPr>
      <w:r>
        <w:rPr>
          <w:rFonts w:hint="eastAsia" w:ascii="宋体" w:hAnsi="宋体" w:eastAsia="宋体" w:cs="宋体"/>
          <w:b/>
          <w:spacing w:val="0"/>
          <w:sz w:val="36"/>
        </w:rPr>
        <w:t>第</w:t>
      </w:r>
      <w:r>
        <w:rPr>
          <w:rFonts w:hint="eastAsia" w:ascii="宋体" w:hAnsi="宋体" w:cs="宋体"/>
          <w:b/>
          <w:spacing w:val="0"/>
          <w:sz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pacing w:val="0"/>
          <w:sz w:val="36"/>
        </w:rPr>
        <w:t>章 响应文件格式</w:t>
      </w:r>
    </w:p>
    <w:p>
      <w:pPr>
        <w:pStyle w:val="19"/>
        <w:rPr>
          <w:rFonts w:hint="eastAsia" w:ascii="宋体" w:hAnsi="宋体" w:eastAsia="宋体" w:cs="宋体"/>
          <w:b/>
          <w:spacing w:val="0"/>
          <w:sz w:val="20"/>
        </w:rPr>
      </w:pPr>
    </w:p>
    <w:p>
      <w:pPr>
        <w:spacing w:before="198"/>
        <w:ind w:left="358" w:right="0" w:firstLine="0"/>
        <w:jc w:val="left"/>
        <w:rPr>
          <w:rFonts w:hint="eastAsia" w:ascii="宋体" w:hAnsi="宋体" w:eastAsia="宋体" w:cs="宋体"/>
          <w:b/>
          <w:spacing w:val="0"/>
          <w:sz w:val="40"/>
        </w:rPr>
      </w:pPr>
      <w:r>
        <w:rPr>
          <w:rFonts w:hint="eastAsia" w:ascii="宋体" w:hAnsi="宋体" w:eastAsia="宋体" w:cs="宋体"/>
          <w:b/>
          <w:spacing w:val="0"/>
          <w:w w:val="99"/>
          <w:sz w:val="40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spacing w:val="0"/>
          <w:sz w:val="40"/>
          <w:u w:val="single"/>
        </w:rPr>
        <w:t xml:space="preserve">（项目名称 )   </w:t>
      </w:r>
    </w:p>
    <w:p>
      <w:pPr>
        <w:pStyle w:val="19"/>
        <w:rPr>
          <w:rFonts w:hint="eastAsia" w:ascii="宋体" w:hAnsi="宋体" w:eastAsia="宋体" w:cs="宋体"/>
          <w:b/>
          <w:spacing w:val="0"/>
          <w:sz w:val="20"/>
        </w:rPr>
      </w:pPr>
    </w:p>
    <w:p>
      <w:pPr>
        <w:pStyle w:val="19"/>
        <w:rPr>
          <w:rFonts w:hint="eastAsia" w:ascii="宋体" w:hAnsi="宋体" w:eastAsia="宋体" w:cs="宋体"/>
          <w:b/>
          <w:spacing w:val="0"/>
          <w:sz w:val="20"/>
        </w:rPr>
      </w:pPr>
    </w:p>
    <w:p>
      <w:pPr>
        <w:pStyle w:val="19"/>
        <w:rPr>
          <w:rFonts w:hint="eastAsia" w:ascii="宋体" w:hAnsi="宋体" w:eastAsia="宋体" w:cs="宋体"/>
          <w:b/>
          <w:spacing w:val="0"/>
          <w:sz w:val="20"/>
        </w:rPr>
      </w:pPr>
    </w:p>
    <w:p>
      <w:pPr>
        <w:pStyle w:val="19"/>
        <w:rPr>
          <w:rFonts w:hint="eastAsia" w:ascii="宋体" w:hAnsi="宋体" w:eastAsia="宋体" w:cs="宋体"/>
          <w:b/>
          <w:spacing w:val="0"/>
          <w:sz w:val="20"/>
        </w:rPr>
      </w:pPr>
    </w:p>
    <w:p>
      <w:pPr>
        <w:pStyle w:val="19"/>
        <w:rPr>
          <w:rFonts w:hint="eastAsia" w:ascii="宋体" w:hAnsi="宋体" w:eastAsia="宋体" w:cs="宋体"/>
          <w:b/>
          <w:spacing w:val="0"/>
          <w:sz w:val="20"/>
        </w:rPr>
      </w:pPr>
    </w:p>
    <w:p>
      <w:pPr>
        <w:pStyle w:val="19"/>
        <w:rPr>
          <w:rFonts w:hint="eastAsia" w:ascii="宋体" w:hAnsi="宋体" w:eastAsia="宋体" w:cs="宋体"/>
          <w:b/>
          <w:spacing w:val="0"/>
          <w:sz w:val="20"/>
        </w:rPr>
      </w:pPr>
    </w:p>
    <w:p>
      <w:pPr>
        <w:pStyle w:val="19"/>
        <w:rPr>
          <w:rFonts w:hint="eastAsia" w:ascii="宋体" w:hAnsi="宋体" w:eastAsia="宋体" w:cs="宋体"/>
          <w:b/>
          <w:spacing w:val="0"/>
          <w:sz w:val="20"/>
        </w:rPr>
      </w:pPr>
    </w:p>
    <w:p>
      <w:pPr>
        <w:spacing w:before="162"/>
        <w:ind w:left="615" w:right="566" w:firstLine="0"/>
        <w:jc w:val="center"/>
        <w:rPr>
          <w:rFonts w:hint="eastAsia" w:ascii="宋体" w:hAnsi="宋体" w:eastAsia="宋体" w:cs="宋体"/>
          <w:b/>
          <w:spacing w:val="0"/>
          <w:sz w:val="72"/>
        </w:rPr>
      </w:pPr>
      <w:r>
        <w:rPr>
          <w:rFonts w:hint="eastAsia" w:ascii="宋体" w:hAnsi="宋体" w:cs="宋体"/>
          <w:b/>
          <w:spacing w:val="0"/>
          <w:sz w:val="72"/>
          <w:lang w:val="en-US" w:eastAsia="zh-CN"/>
        </w:rPr>
        <w:t>投标</w:t>
      </w:r>
      <w:r>
        <w:rPr>
          <w:rFonts w:hint="eastAsia" w:ascii="宋体" w:hAnsi="宋体" w:eastAsia="宋体" w:cs="宋体"/>
          <w:b/>
          <w:spacing w:val="0"/>
          <w:sz w:val="72"/>
        </w:rPr>
        <w:t>响应文件</w:t>
      </w:r>
    </w:p>
    <w:p>
      <w:pPr>
        <w:pStyle w:val="19"/>
        <w:spacing w:before="4"/>
        <w:rPr>
          <w:rFonts w:hint="eastAsia" w:ascii="宋体" w:hAnsi="宋体" w:eastAsia="宋体" w:cs="宋体"/>
          <w:b/>
          <w:spacing w:val="0"/>
          <w:sz w:val="53"/>
        </w:rPr>
      </w:pPr>
    </w:p>
    <w:p>
      <w:pPr>
        <w:pStyle w:val="19"/>
        <w:rPr>
          <w:rFonts w:hint="eastAsia" w:ascii="宋体" w:hAnsi="宋体" w:eastAsia="宋体" w:cs="宋体"/>
          <w:b/>
          <w:spacing w:val="0"/>
          <w:sz w:val="32"/>
        </w:rPr>
      </w:pPr>
    </w:p>
    <w:p>
      <w:pPr>
        <w:pStyle w:val="19"/>
        <w:rPr>
          <w:rFonts w:hint="eastAsia" w:ascii="宋体" w:hAnsi="宋体" w:eastAsia="宋体" w:cs="宋体"/>
          <w:b/>
          <w:spacing w:val="0"/>
          <w:sz w:val="32"/>
        </w:rPr>
      </w:pPr>
    </w:p>
    <w:p>
      <w:pPr>
        <w:pStyle w:val="19"/>
        <w:rPr>
          <w:rFonts w:hint="eastAsia" w:ascii="宋体" w:hAnsi="宋体" w:eastAsia="宋体" w:cs="宋体"/>
          <w:b/>
          <w:spacing w:val="0"/>
          <w:sz w:val="32"/>
        </w:rPr>
      </w:pPr>
    </w:p>
    <w:p>
      <w:pPr>
        <w:pStyle w:val="19"/>
        <w:spacing w:before="5"/>
        <w:rPr>
          <w:rFonts w:hint="eastAsia" w:ascii="宋体" w:hAnsi="宋体" w:eastAsia="宋体" w:cs="宋体"/>
          <w:b/>
          <w:spacing w:val="0"/>
          <w:sz w:val="47"/>
        </w:rPr>
      </w:pPr>
    </w:p>
    <w:p>
      <w:pPr>
        <w:spacing w:before="0"/>
        <w:ind w:left="360" w:right="0"/>
        <w:jc w:val="left"/>
        <w:outlineLvl w:val="9"/>
        <w:rPr>
          <w:rFonts w:hint="eastAsia" w:ascii="宋体" w:hAnsi="宋体" w:eastAsia="宋体" w:cs="宋体"/>
          <w:b/>
          <w:bCs/>
          <w:spacing w:val="0"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w w:val="99"/>
          <w:sz w:val="28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4"/>
        </w:rPr>
        <w:t>投 标 供 应 商 ：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pacing w:val="0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4"/>
        </w:rPr>
        <w:t xml:space="preserve">（ 公 章 ）      </w:t>
      </w:r>
    </w:p>
    <w:p>
      <w:pPr>
        <w:pStyle w:val="19"/>
        <w:spacing w:before="1"/>
        <w:rPr>
          <w:rFonts w:hint="eastAsia" w:ascii="宋体" w:hAnsi="宋体" w:eastAsia="宋体" w:cs="宋体"/>
          <w:b/>
          <w:spacing w:val="0"/>
          <w:sz w:val="32"/>
        </w:rPr>
      </w:pPr>
    </w:p>
    <w:p>
      <w:pPr>
        <w:spacing w:before="1"/>
        <w:ind w:left="360" w:right="0" w:firstLine="0"/>
        <w:jc w:val="left"/>
        <w:rPr>
          <w:rFonts w:hint="eastAsia" w:ascii="宋体" w:hAnsi="宋体" w:eastAsia="宋体" w:cs="宋体"/>
          <w:b/>
          <w:spacing w:val="0"/>
          <w:sz w:val="28"/>
        </w:rPr>
      </w:pPr>
      <w:r>
        <w:rPr>
          <w:rFonts w:hint="eastAsia" w:ascii="宋体" w:hAnsi="宋体" w:eastAsia="宋体" w:cs="宋体"/>
          <w:b/>
          <w:spacing w:val="0"/>
          <w:w w:val="99"/>
          <w:sz w:val="28"/>
        </w:rPr>
        <w:t xml:space="preserve">  </w:t>
      </w:r>
      <w:r>
        <w:rPr>
          <w:rFonts w:hint="eastAsia" w:ascii="宋体" w:hAnsi="宋体" w:eastAsia="宋体" w:cs="宋体"/>
          <w:b/>
          <w:spacing w:val="0"/>
          <w:sz w:val="28"/>
        </w:rPr>
        <w:t>法 定 代 表 人 ：</w:t>
      </w:r>
      <w:r>
        <w:rPr>
          <w:rFonts w:hint="eastAsia" w:ascii="宋体" w:hAnsi="宋体" w:eastAsia="宋体" w:cs="宋体"/>
          <w:b/>
          <w:spacing w:val="0"/>
          <w:sz w:val="28"/>
          <w:u w:val="single"/>
        </w:rPr>
        <w:t xml:space="preserve"> </w:t>
      </w:r>
      <w:r>
        <w:rPr>
          <w:rFonts w:hint="eastAsia" w:ascii="宋体" w:hAnsi="宋体" w:cs="宋体"/>
          <w:b/>
          <w:spacing w:val="0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0"/>
        </w:rPr>
        <w:t>（</w:t>
      </w:r>
      <w:r>
        <w:rPr>
          <w:rFonts w:hint="eastAsia" w:ascii="宋体" w:hAnsi="宋体" w:eastAsia="宋体" w:cs="宋体"/>
          <w:b/>
          <w:spacing w:val="0"/>
          <w:sz w:val="28"/>
          <w:vertAlign w:val="baseline"/>
        </w:rPr>
        <w:t>印 鉴 或 签 字 ）</w:t>
      </w:r>
    </w:p>
    <w:p>
      <w:pPr>
        <w:pStyle w:val="19"/>
        <w:rPr>
          <w:rFonts w:hint="eastAsia" w:ascii="宋体" w:hAnsi="宋体" w:eastAsia="宋体" w:cs="宋体"/>
          <w:b/>
          <w:spacing w:val="0"/>
          <w:sz w:val="40"/>
        </w:rPr>
      </w:pPr>
    </w:p>
    <w:p>
      <w:pPr>
        <w:spacing w:before="297"/>
        <w:ind w:left="615" w:right="566" w:firstLine="0"/>
        <w:jc w:val="center"/>
        <w:rPr>
          <w:rFonts w:hint="eastAsia" w:ascii="宋体" w:hAnsi="宋体" w:eastAsia="宋体" w:cs="宋体"/>
          <w:b/>
          <w:spacing w:val="0"/>
          <w:sz w:val="28"/>
        </w:rPr>
      </w:pPr>
      <w:r>
        <w:rPr>
          <w:rFonts w:hint="eastAsia" w:ascii="宋体" w:hAnsi="宋体" w:eastAsia="宋体" w:cs="宋体"/>
          <w:b/>
          <w:spacing w:val="0"/>
          <w:sz w:val="28"/>
        </w:rPr>
        <w:t>日 期 ：    年    月 日</w:t>
      </w:r>
    </w:p>
    <w:p>
      <w:pPr>
        <w:spacing w:after="0"/>
        <w:jc w:val="center"/>
        <w:rPr>
          <w:rFonts w:hint="eastAsia" w:ascii="宋体" w:hAnsi="宋体" w:eastAsia="宋体" w:cs="宋体"/>
          <w:spacing w:val="0"/>
          <w:sz w:val="28"/>
        </w:rPr>
        <w:sectPr>
          <w:footerReference r:id="rId4" w:type="default"/>
          <w:pgSz w:w="11910" w:h="16840"/>
          <w:pgMar w:top="1417" w:right="1417" w:bottom="1417" w:left="1417" w:header="0" w:footer="1118" w:gutter="0"/>
          <w:pgNumType w:fmt="numberInDash" w:start="3"/>
          <w:cols w:space="720" w:num="1"/>
        </w:sectPr>
      </w:pPr>
    </w:p>
    <w:p>
      <w:pPr>
        <w:spacing w:before="130"/>
        <w:ind w:left="615" w:right="566" w:firstLine="0"/>
        <w:jc w:val="center"/>
        <w:rPr>
          <w:rFonts w:hint="eastAsia" w:ascii="方正小标宋简体" w:hAnsi="方正小标宋简体" w:eastAsia="方正小标宋简体" w:cs="方正小标宋简体"/>
          <w:b/>
          <w:spacing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sz w:val="36"/>
        </w:rPr>
        <w:t>目   录</w:t>
      </w:r>
    </w:p>
    <w:p>
      <w:pPr>
        <w:pStyle w:val="19"/>
        <w:rPr>
          <w:rFonts w:hint="eastAsia" w:ascii="宋体" w:hAnsi="宋体" w:eastAsia="宋体" w:cs="宋体"/>
          <w:b/>
          <w:spacing w:val="0"/>
          <w:sz w:val="20"/>
        </w:rPr>
      </w:pPr>
    </w:p>
    <w:p>
      <w:pPr>
        <w:bidi w:val="0"/>
        <w:spacing w:line="480" w:lineRule="auto"/>
        <w:rPr>
          <w:rFonts w:hint="eastAsia" w:ascii="黑体" w:hAnsi="黑体" w:eastAsia="黑体" w:cs="黑体"/>
          <w:sz w:val="28"/>
          <w:szCs w:val="24"/>
        </w:rPr>
      </w:pPr>
    </w:p>
    <w:p>
      <w:pPr>
        <w:bidi w:val="0"/>
        <w:spacing w:line="480" w:lineRule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一、</w:t>
      </w: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投标</w:t>
      </w:r>
      <w:r>
        <w:rPr>
          <w:rFonts w:hint="eastAsia" w:ascii="黑体" w:hAnsi="黑体" w:eastAsia="黑体" w:cs="黑体"/>
          <w:sz w:val="28"/>
          <w:szCs w:val="24"/>
        </w:rPr>
        <w:t>函</w:t>
      </w:r>
    </w:p>
    <w:p>
      <w:pPr>
        <w:bidi w:val="0"/>
        <w:spacing w:line="480" w:lineRule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4"/>
        </w:rPr>
        <w:t xml:space="preserve">法定代表人身份证明书 </w:t>
      </w:r>
    </w:p>
    <w:p>
      <w:pPr>
        <w:bidi w:val="0"/>
        <w:spacing w:line="480" w:lineRule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4"/>
        </w:rPr>
        <w:t xml:space="preserve">法定代表人授权委托书 </w:t>
      </w:r>
    </w:p>
    <w:p>
      <w:pPr>
        <w:bidi w:val="0"/>
        <w:spacing w:line="480" w:lineRule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4"/>
        </w:rPr>
        <w:t>、</w:t>
      </w: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投标</w:t>
      </w:r>
      <w:r>
        <w:rPr>
          <w:rFonts w:hint="eastAsia" w:ascii="黑体" w:hAnsi="黑体" w:eastAsia="黑体" w:cs="黑体"/>
          <w:sz w:val="28"/>
          <w:szCs w:val="24"/>
        </w:rPr>
        <w:t>报价汇总表</w:t>
      </w:r>
    </w:p>
    <w:p>
      <w:pPr>
        <w:bidi w:val="0"/>
        <w:spacing w:line="480" w:lineRule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4"/>
        </w:rPr>
        <w:t>、资质证明文件</w:t>
      </w:r>
    </w:p>
    <w:p>
      <w:pPr>
        <w:bidi w:val="0"/>
        <w:spacing w:line="480" w:lineRule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4"/>
        </w:rPr>
        <w:t>、技术文件</w:t>
      </w:r>
    </w:p>
    <w:p>
      <w:pPr>
        <w:bidi w:val="0"/>
        <w:spacing w:line="480" w:lineRule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4"/>
        </w:rPr>
        <w:t>、供应商认为需要补充的其它文件或资料</w:t>
      </w:r>
    </w:p>
    <w:p>
      <w:pPr>
        <w:spacing w:before="110" w:line="480" w:lineRule="auto"/>
        <w:ind w:left="360" w:right="0" w:firstLine="0"/>
        <w:jc w:val="left"/>
        <w:rPr>
          <w:rFonts w:hint="eastAsia" w:ascii="宋体" w:hAnsi="宋体" w:eastAsia="宋体" w:cs="宋体"/>
          <w:spacing w:val="0"/>
          <w:sz w:val="36"/>
          <w:szCs w:val="24"/>
        </w:rPr>
      </w:pPr>
      <w:r>
        <w:rPr>
          <w:rFonts w:hint="eastAsia" w:ascii="宋体" w:hAnsi="宋体" w:eastAsia="宋体" w:cs="宋体"/>
          <w:spacing w:val="0"/>
          <w:sz w:val="36"/>
          <w:szCs w:val="24"/>
        </w:rPr>
        <w:t xml:space="preserve"> </w:t>
      </w:r>
    </w:p>
    <w:p>
      <w:pPr>
        <w:spacing w:after="0"/>
        <w:jc w:val="left"/>
        <w:rPr>
          <w:rFonts w:hint="eastAsia" w:ascii="宋体" w:hAnsi="宋体" w:eastAsia="宋体" w:cs="宋体"/>
          <w:spacing w:val="0"/>
          <w:sz w:val="24"/>
        </w:rPr>
        <w:sectPr>
          <w:pgSz w:w="11910" w:h="16840"/>
          <w:pgMar w:top="1417" w:right="1417" w:bottom="1417" w:left="1417" w:header="0" w:footer="1118" w:gutter="0"/>
          <w:pgNumType w:fmt="numberInDash"/>
          <w:cols w:space="720" w:num="1"/>
        </w:sectPr>
      </w:pPr>
    </w:p>
    <w:p>
      <w:pPr>
        <w:spacing w:before="61"/>
        <w:ind w:right="566" w:firstLine="643" w:firstLineChars="200"/>
        <w:jc w:val="both"/>
        <w:rPr>
          <w:rFonts w:hint="eastAsia" w:ascii="宋体" w:hAnsi="宋体" w:eastAsia="宋体" w:cs="宋体"/>
          <w:b/>
          <w:spacing w:val="0"/>
          <w:sz w:val="32"/>
          <w:szCs w:val="21"/>
        </w:rPr>
      </w:pPr>
      <w:r>
        <w:rPr>
          <w:rFonts w:hint="eastAsia" w:ascii="宋体" w:hAnsi="宋体" w:eastAsia="宋体" w:cs="宋体"/>
          <w:b/>
          <w:spacing w:val="0"/>
          <w:sz w:val="32"/>
          <w:szCs w:val="21"/>
        </w:rPr>
        <w:t>一、</w:t>
      </w:r>
      <w:r>
        <w:rPr>
          <w:rFonts w:hint="eastAsia" w:ascii="宋体" w:hAnsi="宋体" w:cs="宋体"/>
          <w:b/>
          <w:spacing w:val="0"/>
          <w:sz w:val="32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b/>
          <w:spacing w:val="0"/>
          <w:sz w:val="32"/>
          <w:szCs w:val="21"/>
        </w:rPr>
        <w:t>函</w:t>
      </w:r>
    </w:p>
    <w:p>
      <w:pPr>
        <w:pStyle w:val="19"/>
        <w:spacing w:before="12"/>
        <w:rPr>
          <w:rFonts w:hint="eastAsia" w:ascii="宋体" w:hAnsi="宋体" w:eastAsia="宋体" w:cs="宋体"/>
          <w:b/>
          <w:spacing w:val="0"/>
          <w:sz w:val="16"/>
        </w:rPr>
      </w:pPr>
    </w:p>
    <w:p>
      <w:pPr>
        <w:spacing w:before="66" w:line="360" w:lineRule="auto"/>
        <w:ind w:left="360" w:right="0" w:firstLine="240" w:firstLineChars="100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致：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（采购人名称）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</w:p>
    <w:p>
      <w:pPr>
        <w:spacing w:before="169" w:line="360" w:lineRule="auto"/>
        <w:ind w:right="0" w:firstLine="480" w:firstLineChars="200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我们收到贵方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pacing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项目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文件（编号：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），经详细研究，我们决定参加该项目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。并授权下述代表人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pacing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（姓名、职务），全权代表我单位提交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文件响应书。同时宣布愿意遵守下列条款：</w:t>
      </w:r>
    </w:p>
    <w:p>
      <w:pPr>
        <w:spacing w:before="0" w:line="360" w:lineRule="auto"/>
        <w:ind w:right="36" w:rightChars="17" w:firstLine="480" w:firstLineChars="200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1、承认和愿意按照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文件中的各项规定和要求，提供服务。磋商报价：大写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元，小写</w:t>
      </w:r>
      <w:r>
        <w:rPr>
          <w:rFonts w:hint="eastAsia" w:ascii="宋体" w:hAnsi="宋体" w:eastAsia="宋体" w:cs="宋体"/>
          <w:spacing w:val="0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元，</w:t>
      </w:r>
    </w:p>
    <w:p>
      <w:pPr>
        <w:spacing w:before="0" w:line="360" w:lineRule="auto"/>
        <w:ind w:left="360" w:right="36" w:rightChars="17" w:firstLine="0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质量标准：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，服务周期：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。</w:t>
      </w:r>
    </w:p>
    <w:p>
      <w:pPr>
        <w:spacing w:before="169" w:line="360" w:lineRule="auto"/>
        <w:ind w:right="36" w:rightChars="17" w:firstLine="480" w:firstLineChars="200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2、愿意按照《中华人民共和国合同法》及相关法律法规履行自己的责任和义务。</w:t>
      </w:r>
    </w:p>
    <w:p>
      <w:pPr>
        <w:spacing w:before="169" w:line="360" w:lineRule="auto"/>
        <w:ind w:right="36" w:rightChars="17" w:firstLine="480" w:firstLineChars="200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3、如果我们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文件响应书被接受，我们将履行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文件中规定的每一项要求，按期、按质、按量完成任务。</w:t>
      </w:r>
    </w:p>
    <w:p>
      <w:pPr>
        <w:pStyle w:val="108"/>
        <w:numPr>
          <w:ilvl w:val="0"/>
          <w:numId w:val="0"/>
        </w:numPr>
        <w:tabs>
          <w:tab w:val="left" w:pos="961"/>
        </w:tabs>
        <w:spacing w:before="169" w:after="0" w:line="360" w:lineRule="auto"/>
        <w:ind w:right="36" w:rightChars="17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我们愿意提供采购人在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文件中要求的所有资料。</w:t>
      </w:r>
    </w:p>
    <w:p>
      <w:pPr>
        <w:pStyle w:val="108"/>
        <w:numPr>
          <w:ilvl w:val="0"/>
          <w:numId w:val="0"/>
        </w:numPr>
        <w:tabs>
          <w:tab w:val="left" w:pos="961"/>
        </w:tabs>
        <w:spacing w:before="169" w:after="0" w:line="360" w:lineRule="auto"/>
        <w:ind w:right="36" w:rightChars="17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我们认为你们有权拒绝任何严重不响应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文件的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文件响应书。</w:t>
      </w:r>
    </w:p>
    <w:p>
      <w:pPr>
        <w:pStyle w:val="108"/>
        <w:numPr>
          <w:ilvl w:val="0"/>
          <w:numId w:val="0"/>
        </w:numPr>
        <w:tabs>
          <w:tab w:val="left" w:pos="961"/>
        </w:tabs>
        <w:spacing w:before="169" w:after="0" w:line="360" w:lineRule="auto"/>
        <w:ind w:right="36" w:rightChars="17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我们同意按照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文件规定，交纳磋商保证金。遵守各项规定。</w:t>
      </w:r>
    </w:p>
    <w:p>
      <w:pPr>
        <w:pStyle w:val="19"/>
        <w:spacing w:line="360" w:lineRule="auto"/>
        <w:ind w:right="36" w:rightChars="17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我方的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文件响应书在开标后 天内有效。</w:t>
      </w:r>
    </w:p>
    <w:p>
      <w:pPr>
        <w:pStyle w:val="108"/>
        <w:numPr>
          <w:ilvl w:val="0"/>
          <w:numId w:val="0"/>
        </w:numPr>
        <w:tabs>
          <w:tab w:val="left" w:pos="961"/>
        </w:tabs>
        <w:spacing w:before="66" w:after="0" w:line="360" w:lineRule="auto"/>
        <w:ind w:right="36" w:rightChars="17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除非另外达成协议并生效，你方的成交通知书和本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文件响应书将成为约束双方的合同文件的组成部分。</w:t>
      </w:r>
    </w:p>
    <w:p>
      <w:pPr>
        <w:pStyle w:val="108"/>
        <w:numPr>
          <w:ilvl w:val="0"/>
          <w:numId w:val="0"/>
        </w:numPr>
        <w:tabs>
          <w:tab w:val="left" w:pos="961"/>
        </w:tabs>
        <w:spacing w:before="169" w:after="0" w:line="360" w:lineRule="auto"/>
        <w:ind w:right="36" w:rightChars="17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所有有关本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文件响应书的函电，请按下列地址联系：</w:t>
      </w:r>
    </w:p>
    <w:p>
      <w:pPr>
        <w:spacing w:before="0" w:line="360" w:lineRule="auto"/>
        <w:ind w:left="360" w:right="36" w:rightChars="17" w:firstLine="0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供 应 商 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( 盖 章 )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 xml:space="preserve">    </w:t>
      </w:r>
    </w:p>
    <w:p>
      <w:pPr>
        <w:spacing w:before="169" w:line="360" w:lineRule="auto"/>
        <w:ind w:left="360" w:right="36" w:rightChars="17" w:firstLine="0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法定代表人或其委托代理人：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   （签字或盖章）  </w:t>
      </w:r>
    </w:p>
    <w:p>
      <w:pPr>
        <w:spacing w:before="0" w:line="360" w:lineRule="auto"/>
        <w:ind w:left="360" w:right="36" w:rightChars="17" w:firstLine="0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单 位 地 址 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邮 政 编 码 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      </w:t>
      </w:r>
    </w:p>
    <w:p>
      <w:pPr>
        <w:spacing w:before="0" w:line="360" w:lineRule="auto"/>
        <w:ind w:left="360" w:right="36" w:rightChars="17" w:firstLine="0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电 话 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传 真 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          </w:t>
      </w:r>
    </w:p>
    <w:p>
      <w:pPr>
        <w:spacing w:before="0" w:line="360" w:lineRule="auto"/>
        <w:ind w:left="360" w:right="36" w:rightChars="17" w:firstLine="0"/>
        <w:jc w:val="left"/>
        <w:rPr>
          <w:rFonts w:hint="eastAsia" w:ascii="宋体" w:hAnsi="宋体" w:eastAsia="宋体" w:cs="宋体"/>
          <w:spacing w:val="0"/>
          <w:sz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 期 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</w:p>
    <w:p>
      <w:pPr>
        <w:spacing w:after="0"/>
        <w:jc w:val="left"/>
        <w:rPr>
          <w:rFonts w:hint="eastAsia" w:ascii="宋体" w:hAnsi="宋体" w:eastAsia="宋体" w:cs="宋体"/>
          <w:spacing w:val="0"/>
          <w:sz w:val="24"/>
        </w:rPr>
        <w:sectPr>
          <w:footerReference r:id="rId5" w:type="default"/>
          <w:pgSz w:w="11910" w:h="16840"/>
          <w:pgMar w:top="1417" w:right="1417" w:bottom="1417" w:left="1417" w:header="0" w:footer="278" w:gutter="0"/>
          <w:pgNumType w:fmt="numberInDash"/>
          <w:cols w:space="720" w:num="1"/>
        </w:sectPr>
      </w:pPr>
    </w:p>
    <w:p>
      <w:pPr>
        <w:numPr>
          <w:ilvl w:val="0"/>
          <w:numId w:val="0"/>
        </w:numPr>
        <w:spacing w:before="60"/>
        <w:ind w:left="599" w:leftChars="0" w:right="566" w:rightChars="0"/>
        <w:jc w:val="both"/>
        <w:rPr>
          <w:rFonts w:hint="eastAsia" w:eastAsia="宋体"/>
          <w:sz w:val="28"/>
          <w:szCs w:val="24"/>
          <w:lang w:val="en-US" w:eastAsia="zh-CN"/>
        </w:rPr>
      </w:pPr>
      <w:r>
        <w:rPr>
          <w:rFonts w:hint="eastAsia" w:ascii="宋体" w:hAnsi="宋体" w:cs="宋体"/>
          <w:b/>
          <w:spacing w:val="0"/>
          <w:sz w:val="32"/>
          <w:szCs w:val="21"/>
          <w:lang w:val="en-US" w:eastAsia="zh-CN"/>
        </w:rPr>
        <w:t xml:space="preserve">二、 </w:t>
      </w:r>
      <w:r>
        <w:rPr>
          <w:rFonts w:hint="eastAsia" w:ascii="宋体" w:hAnsi="宋体" w:eastAsia="宋体" w:cs="宋体"/>
          <w:b/>
          <w:spacing w:val="0"/>
          <w:sz w:val="32"/>
          <w:szCs w:val="21"/>
        </w:rPr>
        <w:t>法定代表人身份证明书</w:t>
      </w:r>
      <w:r>
        <w:rPr>
          <w:rFonts w:hint="eastAsia" w:ascii="宋体" w:hAnsi="宋体" w:cs="宋体"/>
          <w:b/>
          <w:spacing w:val="0"/>
          <w:sz w:val="32"/>
          <w:szCs w:val="21"/>
          <w:lang w:eastAsia="zh-CN"/>
        </w:rPr>
        <w:t>（</w:t>
      </w:r>
      <w:r>
        <w:rPr>
          <w:rFonts w:hint="eastAsia"/>
          <w:sz w:val="28"/>
          <w:szCs w:val="24"/>
          <w:lang w:val="en-US" w:eastAsia="zh-CN"/>
        </w:rPr>
        <w:t>格式自拟</w:t>
      </w:r>
      <w:r>
        <w:rPr>
          <w:rFonts w:hint="eastAsia" w:ascii="宋体" w:hAnsi="宋体" w:cs="宋体"/>
          <w:b/>
          <w:spacing w:val="0"/>
          <w:sz w:val="32"/>
          <w:szCs w:val="21"/>
          <w:lang w:eastAsia="zh-CN"/>
        </w:rPr>
        <w:t>）</w:t>
      </w:r>
    </w:p>
    <w:p>
      <w:pPr>
        <w:numPr>
          <w:ilvl w:val="0"/>
          <w:numId w:val="0"/>
        </w:numPr>
        <w:spacing w:before="60"/>
        <w:ind w:left="599" w:leftChars="0" w:right="566" w:rightChars="0"/>
        <w:jc w:val="both"/>
        <w:rPr>
          <w:rFonts w:hint="eastAsia" w:ascii="宋体" w:hAnsi="宋体" w:eastAsia="宋体" w:cs="宋体"/>
          <w:b/>
          <w:spacing w:val="0"/>
          <w:sz w:val="32"/>
          <w:szCs w:val="21"/>
        </w:rPr>
      </w:pPr>
      <w:r>
        <w:rPr>
          <w:rFonts w:hint="eastAsia" w:ascii="宋体" w:hAnsi="宋体" w:cs="宋体"/>
          <w:b/>
          <w:spacing w:val="0"/>
          <w:sz w:val="32"/>
          <w:szCs w:val="21"/>
          <w:lang w:eastAsia="zh-CN"/>
        </w:rPr>
        <w:t>三、</w:t>
      </w:r>
      <w:r>
        <w:rPr>
          <w:rFonts w:hint="eastAsia" w:ascii="宋体" w:hAnsi="宋体" w:eastAsia="宋体" w:cs="宋体"/>
          <w:b/>
          <w:spacing w:val="0"/>
          <w:sz w:val="32"/>
          <w:szCs w:val="21"/>
        </w:rPr>
        <w:t>法定代表人授权委托书</w:t>
      </w:r>
      <w:r>
        <w:rPr>
          <w:rFonts w:hint="eastAsia" w:ascii="宋体" w:hAnsi="宋体" w:cs="宋体"/>
          <w:b/>
          <w:spacing w:val="0"/>
          <w:sz w:val="32"/>
          <w:szCs w:val="21"/>
          <w:lang w:eastAsia="zh-CN"/>
        </w:rPr>
        <w:t>（</w:t>
      </w:r>
      <w:r>
        <w:rPr>
          <w:rFonts w:hint="eastAsia"/>
          <w:sz w:val="28"/>
          <w:szCs w:val="24"/>
          <w:lang w:val="en-US" w:eastAsia="zh-CN"/>
        </w:rPr>
        <w:t>格式自拟</w:t>
      </w:r>
      <w:r>
        <w:rPr>
          <w:rFonts w:hint="eastAsia" w:ascii="宋体" w:hAnsi="宋体" w:cs="宋体"/>
          <w:b/>
          <w:spacing w:val="0"/>
          <w:sz w:val="32"/>
          <w:szCs w:val="21"/>
          <w:lang w:eastAsia="zh-CN"/>
        </w:rPr>
        <w:t>）</w:t>
      </w:r>
    </w:p>
    <w:p>
      <w:pPr>
        <w:spacing w:before="60"/>
        <w:ind w:left="599" w:right="566" w:firstLine="0"/>
        <w:jc w:val="both"/>
        <w:rPr>
          <w:rFonts w:hint="eastAsia" w:ascii="宋体" w:hAnsi="宋体" w:cs="宋体"/>
          <w:b/>
          <w:spacing w:val="0"/>
          <w:sz w:val="32"/>
          <w:szCs w:val="21"/>
          <w:lang w:eastAsia="zh-CN"/>
        </w:rPr>
      </w:pPr>
      <w:r>
        <w:rPr>
          <w:rFonts w:hint="eastAsia" w:ascii="宋体" w:hAnsi="宋体" w:eastAsia="宋体" w:cs="宋体"/>
          <w:b/>
          <w:spacing w:val="0"/>
          <w:sz w:val="32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spacing w:val="0"/>
          <w:sz w:val="32"/>
          <w:szCs w:val="21"/>
        </w:rPr>
        <w:t>、报价汇总表</w:t>
      </w:r>
      <w:r>
        <w:rPr>
          <w:rFonts w:hint="eastAsia" w:ascii="宋体" w:hAnsi="宋体" w:cs="宋体"/>
          <w:b/>
          <w:spacing w:val="0"/>
          <w:sz w:val="32"/>
          <w:szCs w:val="21"/>
          <w:lang w:eastAsia="zh-CN"/>
        </w:rPr>
        <w:t>（</w:t>
      </w:r>
      <w:r>
        <w:rPr>
          <w:rFonts w:hint="eastAsia"/>
          <w:sz w:val="28"/>
          <w:szCs w:val="24"/>
          <w:lang w:val="en-US" w:eastAsia="zh-CN"/>
        </w:rPr>
        <w:t>格式自拟</w:t>
      </w:r>
      <w:r>
        <w:rPr>
          <w:rFonts w:hint="eastAsia" w:ascii="宋体" w:hAnsi="宋体" w:cs="宋体"/>
          <w:b/>
          <w:spacing w:val="0"/>
          <w:sz w:val="32"/>
          <w:szCs w:val="21"/>
          <w:lang w:eastAsia="zh-CN"/>
        </w:rPr>
        <w:t>）</w:t>
      </w:r>
    </w:p>
    <w:p>
      <w:pPr>
        <w:spacing w:before="60"/>
        <w:ind w:left="599" w:right="566" w:firstLine="0"/>
        <w:jc w:val="both"/>
        <w:rPr>
          <w:rFonts w:hint="eastAsia" w:ascii="宋体" w:hAnsi="宋体" w:cs="宋体"/>
          <w:b/>
          <w:spacing w:val="0"/>
          <w:sz w:val="32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pacing w:val="0"/>
          <w:sz w:val="32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spacing w:val="0"/>
          <w:sz w:val="32"/>
          <w:szCs w:val="21"/>
        </w:rPr>
        <w:t>、资质证明文件</w:t>
      </w:r>
      <w:r>
        <w:rPr>
          <w:rFonts w:hint="eastAsia" w:ascii="宋体" w:hAnsi="宋体" w:eastAsia="宋体" w:cs="宋体"/>
          <w:spacing w:val="0"/>
          <w:sz w:val="28"/>
        </w:rPr>
        <w:t>（资格审查表</w:t>
      </w:r>
      <w:r>
        <w:rPr>
          <w:rFonts w:hint="eastAsia"/>
          <w:sz w:val="28"/>
          <w:szCs w:val="24"/>
          <w:lang w:val="en-US" w:eastAsia="zh-CN"/>
        </w:rPr>
        <w:t>格式自拟</w:t>
      </w:r>
      <w:r>
        <w:rPr>
          <w:rFonts w:hint="eastAsia" w:ascii="宋体" w:hAnsi="宋体" w:eastAsia="宋体" w:cs="宋体"/>
          <w:spacing w:val="0"/>
          <w:sz w:val="28"/>
        </w:rPr>
        <w:t>）</w:t>
      </w:r>
    </w:p>
    <w:p>
      <w:pPr>
        <w:spacing w:before="61"/>
        <w:ind w:right="566" w:firstLine="643" w:firstLineChars="200"/>
        <w:jc w:val="both"/>
        <w:rPr>
          <w:rFonts w:hint="eastAsia" w:ascii="宋体" w:hAnsi="宋体" w:eastAsia="宋体" w:cs="宋体"/>
          <w:spacing w:val="0"/>
          <w:sz w:val="24"/>
        </w:rPr>
      </w:pPr>
      <w:r>
        <w:rPr>
          <w:rFonts w:hint="eastAsia" w:ascii="宋体" w:hAnsi="宋体" w:cs="宋体"/>
          <w:b/>
          <w:spacing w:val="0"/>
          <w:sz w:val="32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spacing w:val="0"/>
          <w:sz w:val="32"/>
          <w:szCs w:val="21"/>
        </w:rPr>
        <w:t>、技术文件</w:t>
      </w:r>
      <w:r>
        <w:rPr>
          <w:rFonts w:hint="eastAsia" w:ascii="宋体" w:hAnsi="宋体" w:cs="宋体"/>
          <w:b/>
          <w:spacing w:val="0"/>
          <w:sz w:val="32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pacing w:val="0"/>
          <w:sz w:val="24"/>
          <w:lang w:eastAsia="zh-CN"/>
        </w:rPr>
        <w:t>招标公司</w:t>
      </w:r>
      <w:r>
        <w:rPr>
          <w:rFonts w:hint="eastAsia" w:ascii="宋体" w:hAnsi="宋体" w:eastAsia="宋体" w:cs="宋体"/>
          <w:spacing w:val="0"/>
          <w:sz w:val="24"/>
        </w:rPr>
        <w:t>自行填写必须包含但不仅限于以下内容：</w:t>
      </w:r>
    </w:p>
    <w:p>
      <w:pPr>
        <w:pStyle w:val="19"/>
        <w:numPr>
          <w:ilvl w:val="0"/>
          <w:numId w:val="0"/>
        </w:numPr>
        <w:spacing w:before="7" w:line="480" w:lineRule="auto"/>
        <w:ind w:firstLine="720" w:firstLineChars="300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0"/>
          <w:sz w:val="24"/>
          <w:szCs w:val="24"/>
        </w:rPr>
        <w:t>飞行监测方案</w:t>
      </w:r>
    </w:p>
    <w:p>
      <w:pPr>
        <w:spacing w:line="480" w:lineRule="auto"/>
        <w:ind w:firstLine="720" w:firstLineChars="300"/>
        <w:rPr>
          <w:rFonts w:hint="default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.质量保证措施</w:t>
      </w:r>
    </w:p>
    <w:p>
      <w:pPr>
        <w:spacing w:line="480" w:lineRule="auto"/>
        <w:ind w:firstLine="720" w:firstLineChars="300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突发事件应急处置方案</w:t>
      </w:r>
    </w:p>
    <w:p>
      <w:pPr>
        <w:pStyle w:val="19"/>
        <w:numPr>
          <w:ilvl w:val="0"/>
          <w:numId w:val="0"/>
        </w:numPr>
        <w:spacing w:before="7" w:line="480" w:lineRule="auto"/>
        <w:ind w:leftChars="0" w:firstLine="720" w:firstLineChars="300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服务承诺</w:t>
      </w:r>
    </w:p>
    <w:p>
      <w:pPr>
        <w:pStyle w:val="19"/>
        <w:numPr>
          <w:ilvl w:val="0"/>
          <w:numId w:val="0"/>
        </w:numPr>
        <w:spacing w:before="7" w:line="480" w:lineRule="auto"/>
        <w:ind w:leftChars="0" w:firstLine="720" w:firstLineChars="300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投入设备</w:t>
      </w:r>
    </w:p>
    <w:p>
      <w:pPr>
        <w:pStyle w:val="19"/>
        <w:numPr>
          <w:ilvl w:val="0"/>
          <w:numId w:val="0"/>
        </w:numPr>
        <w:spacing w:before="7" w:line="480" w:lineRule="auto"/>
        <w:ind w:leftChars="0" w:firstLine="720" w:firstLineChars="300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0"/>
          <w:sz w:val="24"/>
          <w:szCs w:val="24"/>
        </w:rPr>
        <w:t>企业业绩</w:t>
      </w:r>
    </w:p>
    <w:p>
      <w:pPr>
        <w:pStyle w:val="19"/>
        <w:numPr>
          <w:ilvl w:val="0"/>
          <w:numId w:val="0"/>
        </w:numPr>
        <w:spacing w:before="7" w:line="480" w:lineRule="auto"/>
        <w:ind w:leftChars="0" w:firstLine="720" w:firstLineChars="300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0"/>
          <w:sz w:val="24"/>
          <w:szCs w:val="24"/>
        </w:rPr>
        <w:t>企业综合实力</w:t>
      </w:r>
    </w:p>
    <w:p>
      <w:pPr>
        <w:pStyle w:val="19"/>
        <w:numPr>
          <w:ilvl w:val="0"/>
          <w:numId w:val="0"/>
        </w:numPr>
        <w:spacing w:before="7" w:line="480" w:lineRule="auto"/>
        <w:ind w:leftChars="0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pStyle w:val="19"/>
        <w:numPr>
          <w:ilvl w:val="0"/>
          <w:numId w:val="0"/>
        </w:numPr>
        <w:spacing w:before="7" w:line="480" w:lineRule="auto"/>
        <w:ind w:leftChars="0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pStyle w:val="19"/>
        <w:numPr>
          <w:ilvl w:val="0"/>
          <w:numId w:val="0"/>
        </w:numPr>
        <w:spacing w:before="7" w:line="480" w:lineRule="auto"/>
        <w:ind w:leftChars="0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pStyle w:val="19"/>
        <w:numPr>
          <w:ilvl w:val="0"/>
          <w:numId w:val="0"/>
        </w:numPr>
        <w:spacing w:before="7" w:line="480" w:lineRule="auto"/>
        <w:ind w:leftChars="0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pStyle w:val="19"/>
        <w:numPr>
          <w:ilvl w:val="0"/>
          <w:numId w:val="0"/>
        </w:numPr>
        <w:spacing w:before="7" w:line="480" w:lineRule="auto"/>
        <w:ind w:leftChars="0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pStyle w:val="19"/>
        <w:numPr>
          <w:ilvl w:val="0"/>
          <w:numId w:val="0"/>
        </w:numPr>
        <w:spacing w:before="7" w:line="480" w:lineRule="auto"/>
        <w:ind w:leftChars="0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pStyle w:val="19"/>
        <w:numPr>
          <w:ilvl w:val="0"/>
          <w:numId w:val="0"/>
        </w:numPr>
        <w:spacing w:before="7" w:line="480" w:lineRule="auto"/>
        <w:ind w:leftChars="0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pStyle w:val="127"/>
        <w:spacing w:line="600" w:lineRule="exact"/>
        <w:rPr>
          <w:b/>
          <w:szCs w:val="21"/>
        </w:rPr>
      </w:pPr>
      <w:r>
        <w:rPr>
          <w:b/>
          <w:sz w:val="28"/>
          <w:szCs w:val="28"/>
        </w:rPr>
        <w:t>附表：</w:t>
      </w:r>
    </w:p>
    <w:p>
      <w:pPr>
        <w:pStyle w:val="127"/>
        <w:snapToGrid w:val="0"/>
        <w:spacing w:line="560" w:lineRule="exact"/>
        <w:jc w:val="center"/>
        <w:rPr>
          <w:rFonts w:ascii="宋体" w:hAnsi="宋体"/>
          <w:b/>
          <w:spacing w:val="8"/>
          <w:sz w:val="28"/>
          <w:szCs w:val="28"/>
        </w:rPr>
      </w:pPr>
      <w:r>
        <w:rPr>
          <w:rFonts w:ascii="宋体" w:hAnsi="宋体"/>
          <w:b/>
          <w:spacing w:val="8"/>
          <w:sz w:val="28"/>
          <w:szCs w:val="28"/>
        </w:rPr>
        <w:t xml:space="preserve">   </w:t>
      </w:r>
      <w:r>
        <w:rPr>
          <w:rFonts w:hint="eastAsia" w:ascii="宋体" w:hAnsi="宋体"/>
          <w:b/>
          <w:spacing w:val="8"/>
          <w:sz w:val="28"/>
          <w:szCs w:val="28"/>
          <w:lang w:eastAsia="zh-CN"/>
        </w:rPr>
        <w:t>竞争性</w:t>
      </w:r>
      <w:r>
        <w:rPr>
          <w:rFonts w:ascii="宋体" w:hAnsi="宋体"/>
          <w:b/>
          <w:spacing w:val="8"/>
          <w:sz w:val="28"/>
          <w:szCs w:val="28"/>
        </w:rPr>
        <w:t>磋商最终报价表</w:t>
      </w:r>
    </w:p>
    <w:tbl>
      <w:tblPr>
        <w:tblStyle w:val="46"/>
        <w:tblpPr w:leftFromText="180" w:rightFromText="180" w:vertAnchor="text" w:horzAnchor="page" w:tblpX="1552" w:tblpY="188"/>
        <w:tblW w:w="827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6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项目名称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服务周期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质量标准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报价小写（元）：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报价大写（元）：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其他说明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7"/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供应商名称：（公章）                  法定代表人或其授权委托人（签字）：                                        </w:t>
      </w:r>
    </w:p>
    <w:p>
      <w:pPr>
        <w:pStyle w:val="127"/>
        <w:spacing w:line="360" w:lineRule="auto"/>
        <w:ind w:firstLine="5145" w:firstLineChars="245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    年    月    日</w:t>
      </w:r>
    </w:p>
    <w:p>
      <w:pPr>
        <w:pStyle w:val="127"/>
        <w:spacing w:line="360" w:lineRule="auto"/>
        <w:ind w:firstLine="105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说明：最终报价对总价进行调整时，单价按相应比例下浮，单价下浮后服务质量不得变更。</w:t>
      </w:r>
    </w:p>
    <w:p>
      <w:pPr>
        <w:pStyle w:val="127"/>
        <w:spacing w:line="360" w:lineRule="auto"/>
        <w:ind w:firstLine="63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注： 最终报价不得超过首次报价。</w:t>
      </w:r>
    </w:p>
    <w:p>
      <w:pPr>
        <w:pStyle w:val="127"/>
        <w:numPr>
          <w:ilvl w:val="0"/>
          <w:numId w:val="5"/>
        </w:numPr>
        <w:spacing w:line="360" w:lineRule="auto"/>
        <w:ind w:firstLine="630"/>
        <w:rPr>
          <w:rFonts w:hint="eastAsia" w:ascii="宋体" w:hAnsi="宋体" w:eastAsia="宋体" w:cs="宋体"/>
          <w:b/>
          <w:color w:val="auto"/>
          <w:spacing w:val="0"/>
          <w:sz w:val="32"/>
          <w:szCs w:val="21"/>
        </w:rPr>
      </w:pPr>
      <w:r>
        <w:rPr>
          <w:rFonts w:hint="eastAsia" w:ascii="宋体" w:hAnsi="宋体" w:eastAsia="宋体" w:cs="宋体"/>
          <w:b/>
          <w:color w:val="auto"/>
          <w:spacing w:val="0"/>
          <w:sz w:val="32"/>
          <w:szCs w:val="21"/>
        </w:rPr>
        <w:t>供应商认为需要补充的其它文件或资料</w:t>
      </w:r>
    </w:p>
    <w:p>
      <w:pPr>
        <w:pStyle w:val="110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/>
        </w:rPr>
      </w:pPr>
    </w:p>
    <w:sectPr>
      <w:headerReference r:id="rId6" w:type="default"/>
      <w:footerReference r:id="rId7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宋体"/>
    <w:panose1 w:val="020B0604020000020204"/>
    <w:charset w:val="86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SJ-PK7482000002d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9-PK7483cf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03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l1&#10;uVLQAAAABQEAAA8AAAAAAAAAAQAgAAAAIgAAAGRycy9kb3ducmV2LnhtbFBLAQIUABQAAAAIAIdO&#10;4kDcAPFguQEAAFEDAAAOAAAAAAAAAAEAIAAAAB8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l1&#10;uVLQAAAABQEAAA8AAAAAAAAAAQAgAAAAIgAAAGRycy9kb3ducmV2LnhtbFBLAQIUABQAAAAIAIdO&#10;4kCTfj+nuQEAAFEDAAAOAAAAAAAAAAEAIAAAAB8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  <w:rPr>
        <w:b/>
        <w:bCs/>
        <w:sz w:val="21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l1uVLQ&#10;AAAABQEAAA8AAAAAAAAAAQAgAAAAIgAAAGRycy9kb3ducmV2LnhtbFBLAQIUABQAAAAIAIdO4kAJ&#10;N73KtgEAAFEDAAAOAAAAAAAAAAEAIAAAAB8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33F04C"/>
    <w:multiLevelType w:val="singleLevel"/>
    <w:tmpl w:val="F733F0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bullet"/>
      <w:pStyle w:val="109"/>
      <w:lvlText w:val=""/>
      <w:lvlJc w:val="left"/>
      <w:pPr>
        <w:tabs>
          <w:tab w:val="left" w:pos="1134"/>
        </w:tabs>
        <w:ind w:left="1134" w:hanging="294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">
    <w:nsid w:val="00000004"/>
    <w:multiLevelType w:val="multilevel"/>
    <w:tmpl w:val="00000004"/>
    <w:lvl w:ilvl="0" w:tentative="0">
      <w:start w:val="1"/>
      <w:numFmt w:val="decimal"/>
      <w:pStyle w:val="117"/>
      <w:lvlText w:val="%1."/>
      <w:lvlJc w:val="left"/>
      <w:pPr>
        <w:tabs>
          <w:tab w:val="left" w:pos="555"/>
        </w:tabs>
        <w:ind w:left="555" w:hanging="55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160"/>
        </w:tabs>
        <w:ind w:left="2160" w:hanging="216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520"/>
        </w:tabs>
        <w:ind w:left="2520" w:hanging="252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520"/>
        </w:tabs>
        <w:ind w:left="2520" w:hanging="2520"/>
      </w:pPr>
      <w:rPr>
        <w:rFonts w:hint="eastAsia"/>
      </w:rPr>
    </w:lvl>
  </w:abstractNum>
  <w:abstractNum w:abstractNumId="4">
    <w:nsid w:val="6DCCDEF2"/>
    <w:multiLevelType w:val="singleLevel"/>
    <w:tmpl w:val="6DCCDEF2"/>
    <w:lvl w:ilvl="0" w:tentative="0">
      <w:start w:val="7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89375A"/>
    <w:rsid w:val="096824FF"/>
    <w:rsid w:val="10860193"/>
    <w:rsid w:val="13433930"/>
    <w:rsid w:val="187B6C75"/>
    <w:rsid w:val="2074322E"/>
    <w:rsid w:val="2A4E52EF"/>
    <w:rsid w:val="2FEB1CC9"/>
    <w:rsid w:val="308E57CE"/>
    <w:rsid w:val="338915C7"/>
    <w:rsid w:val="33CA711F"/>
    <w:rsid w:val="443C265B"/>
    <w:rsid w:val="57690B72"/>
    <w:rsid w:val="5A4674A2"/>
    <w:rsid w:val="5F7D2ECD"/>
    <w:rsid w:val="6658533A"/>
    <w:rsid w:val="70173BE6"/>
    <w:rsid w:val="73F36F79"/>
    <w:rsid w:val="77040858"/>
    <w:rsid w:val="79305894"/>
    <w:rsid w:val="7A755106"/>
    <w:rsid w:val="7B8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4"/>
      <w:lang w:val="zh-CN"/>
    </w:rPr>
  </w:style>
  <w:style w:type="paragraph" w:styleId="4">
    <w:name w:val="heading 2"/>
    <w:basedOn w:val="1"/>
    <w:next w:val="1"/>
    <w:link w:val="8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paragraph" w:styleId="5">
    <w:name w:val="heading 3"/>
    <w:basedOn w:val="1"/>
    <w:next w:val="1"/>
    <w:link w:val="5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paragraph" w:styleId="6">
    <w:name w:val="heading 4"/>
    <w:basedOn w:val="1"/>
    <w:next w:val="1"/>
    <w:link w:val="82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lang w:val="zh-CN"/>
    </w:rPr>
  </w:style>
  <w:style w:type="paragraph" w:styleId="7">
    <w:name w:val="heading 5"/>
    <w:basedOn w:val="1"/>
    <w:next w:val="1"/>
    <w:link w:val="6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lang w:val="zh-CN"/>
    </w:rPr>
  </w:style>
  <w:style w:type="paragraph" w:styleId="8">
    <w:name w:val="heading 6"/>
    <w:basedOn w:val="1"/>
    <w:next w:val="1"/>
    <w:link w:val="8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lang w:val="zh-CN"/>
    </w:rPr>
  </w:style>
  <w:style w:type="paragraph" w:styleId="10">
    <w:name w:val="heading 8"/>
    <w:basedOn w:val="1"/>
    <w:next w:val="1"/>
    <w:link w:val="87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lang w:val="zh-CN"/>
    </w:rPr>
  </w:style>
  <w:style w:type="paragraph" w:styleId="11">
    <w:name w:val="heading 9"/>
    <w:basedOn w:val="1"/>
    <w:next w:val="1"/>
    <w:link w:val="5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lang w:val="zh-CN"/>
    </w:rPr>
  </w:style>
  <w:style w:type="character" w:default="1" w:styleId="42">
    <w:name w:val="Default Paragraph Font"/>
    <w:qFormat/>
    <w:uiPriority w:val="1"/>
  </w:style>
  <w:style w:type="table" w:default="1" w:styleId="4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1"/>
    <w:qFormat/>
    <w:uiPriority w:val="0"/>
    <w:pPr>
      <w:ind w:firstLine="420"/>
    </w:pPr>
    <w:rPr>
      <w:rFonts w:ascii="宋体"/>
      <w:sz w:val="24"/>
      <w:lang w:val="zh-CN"/>
    </w:rPr>
  </w:style>
  <w:style w:type="paragraph" w:styleId="12">
    <w:name w:val="annotation subject"/>
    <w:basedOn w:val="13"/>
    <w:next w:val="13"/>
    <w:link w:val="60"/>
    <w:qFormat/>
    <w:uiPriority w:val="0"/>
    <w:rPr>
      <w:b/>
      <w:bCs/>
    </w:rPr>
  </w:style>
  <w:style w:type="paragraph" w:styleId="13">
    <w:name w:val="annotation text"/>
    <w:basedOn w:val="1"/>
    <w:link w:val="72"/>
    <w:qFormat/>
    <w:uiPriority w:val="0"/>
    <w:pPr>
      <w:jc w:val="left"/>
    </w:pPr>
    <w:rPr>
      <w:lang w:val="zh-CN"/>
    </w:r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List Number"/>
    <w:basedOn w:val="1"/>
    <w:qFormat/>
    <w:uiPriority w:val="0"/>
    <w:pPr>
      <w:numPr>
        <w:ilvl w:val="0"/>
        <w:numId w:val="1"/>
      </w:numPr>
    </w:pPr>
    <w:rPr>
      <w:szCs w:val="24"/>
    </w:rPr>
  </w:style>
  <w:style w:type="paragraph" w:styleId="16">
    <w:name w:val="caption"/>
    <w:basedOn w:val="1"/>
    <w:next w:val="1"/>
    <w:qFormat/>
    <w:uiPriority w:val="0"/>
    <w:pPr>
      <w:ind w:firstLine="6290" w:firstLineChars="2282"/>
    </w:pPr>
    <w:rPr>
      <w:b/>
      <w:bCs/>
      <w:color w:val="000080"/>
      <w:sz w:val="28"/>
    </w:rPr>
  </w:style>
  <w:style w:type="paragraph" w:styleId="17">
    <w:name w:val="Document Map"/>
    <w:basedOn w:val="1"/>
    <w:link w:val="64"/>
    <w:qFormat/>
    <w:uiPriority w:val="0"/>
    <w:pPr>
      <w:shd w:val="clear" w:color="auto" w:fill="000080"/>
    </w:pPr>
    <w:rPr>
      <w:shd w:val="clear" w:color="auto" w:fill="000080"/>
      <w:lang w:val="zh-CN"/>
    </w:rPr>
  </w:style>
  <w:style w:type="paragraph" w:styleId="18">
    <w:name w:val="Salutation"/>
    <w:basedOn w:val="1"/>
    <w:next w:val="1"/>
    <w:link w:val="69"/>
    <w:qFormat/>
    <w:uiPriority w:val="0"/>
    <w:pPr>
      <w:widowControl/>
      <w:jc w:val="left"/>
    </w:pPr>
    <w:rPr>
      <w:kern w:val="0"/>
      <w:sz w:val="28"/>
      <w:lang w:val="zh-CN"/>
    </w:rPr>
  </w:style>
  <w:style w:type="paragraph" w:styleId="19">
    <w:name w:val="Body Text"/>
    <w:basedOn w:val="1"/>
    <w:link w:val="57"/>
    <w:qFormat/>
    <w:uiPriority w:val="0"/>
    <w:pPr>
      <w:spacing w:after="120"/>
    </w:pPr>
    <w:rPr>
      <w:lang w:val="zh-CN"/>
    </w:rPr>
  </w:style>
  <w:style w:type="paragraph" w:styleId="20">
    <w:name w:val="Body Text Indent"/>
    <w:basedOn w:val="1"/>
    <w:qFormat/>
    <w:uiPriority w:val="0"/>
    <w:pPr>
      <w:ind w:firstLine="795"/>
    </w:pPr>
    <w:rPr>
      <w:sz w:val="32"/>
    </w:rPr>
  </w:style>
  <w:style w:type="paragraph" w:styleId="21">
    <w:name w:val="toc 5"/>
    <w:basedOn w:val="1"/>
    <w:next w:val="1"/>
    <w:qFormat/>
    <w:uiPriority w:val="0"/>
    <w:pPr>
      <w:ind w:left="1680" w:leftChars="800"/>
    </w:pPr>
  </w:style>
  <w:style w:type="paragraph" w:styleId="22">
    <w:name w:val="toc 3"/>
    <w:basedOn w:val="1"/>
    <w:next w:val="1"/>
    <w:qFormat/>
    <w:uiPriority w:val="0"/>
    <w:pPr>
      <w:ind w:left="840" w:leftChars="400"/>
    </w:pPr>
  </w:style>
  <w:style w:type="paragraph" w:styleId="23">
    <w:name w:val="Plain Text"/>
    <w:basedOn w:val="1"/>
    <w:link w:val="123"/>
    <w:qFormat/>
    <w:uiPriority w:val="0"/>
    <w:rPr>
      <w:rFonts w:ascii="宋体" w:hAnsi="Courier New"/>
    </w:rPr>
  </w:style>
  <w:style w:type="paragraph" w:styleId="24">
    <w:name w:val="toc 8"/>
    <w:basedOn w:val="1"/>
    <w:next w:val="1"/>
    <w:qFormat/>
    <w:uiPriority w:val="0"/>
    <w:pPr>
      <w:ind w:left="2940" w:leftChars="1400"/>
    </w:pPr>
  </w:style>
  <w:style w:type="paragraph" w:styleId="25">
    <w:name w:val="Date"/>
    <w:basedOn w:val="1"/>
    <w:next w:val="1"/>
    <w:link w:val="48"/>
    <w:qFormat/>
    <w:uiPriority w:val="0"/>
    <w:rPr>
      <w:rFonts w:eastAsia="楷体"/>
      <w:sz w:val="32"/>
      <w:lang w:val="zh-CN"/>
    </w:rPr>
  </w:style>
  <w:style w:type="paragraph" w:styleId="26">
    <w:name w:val="Body Text Indent 2"/>
    <w:basedOn w:val="1"/>
    <w:link w:val="66"/>
    <w:qFormat/>
    <w:uiPriority w:val="0"/>
    <w:pPr>
      <w:ind w:left="105" w:firstLine="690"/>
    </w:pPr>
    <w:rPr>
      <w:sz w:val="32"/>
      <w:lang w:val="zh-CN"/>
    </w:rPr>
  </w:style>
  <w:style w:type="paragraph" w:styleId="27">
    <w:name w:val="Balloon Text"/>
    <w:basedOn w:val="1"/>
    <w:link w:val="83"/>
    <w:qFormat/>
    <w:uiPriority w:val="0"/>
    <w:rPr>
      <w:sz w:val="18"/>
      <w:szCs w:val="18"/>
      <w:lang w:val="zh-CN"/>
    </w:rPr>
  </w:style>
  <w:style w:type="paragraph" w:styleId="28">
    <w:name w:val="footer"/>
    <w:basedOn w:val="1"/>
    <w:link w:val="1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index heading"/>
    <w:basedOn w:val="1"/>
    <w:next w:val="33"/>
    <w:qFormat/>
    <w:uiPriority w:val="0"/>
    <w:pPr>
      <w:widowControl/>
      <w:jc w:val="left"/>
    </w:pPr>
    <w:rPr>
      <w:kern w:val="0"/>
    </w:rPr>
  </w:style>
  <w:style w:type="paragraph" w:styleId="33">
    <w:name w:val="index 1"/>
    <w:basedOn w:val="1"/>
    <w:next w:val="1"/>
    <w:qFormat/>
    <w:uiPriority w:val="0"/>
  </w:style>
  <w:style w:type="paragraph" w:styleId="34">
    <w:name w:val="toc 6"/>
    <w:basedOn w:val="1"/>
    <w:next w:val="1"/>
    <w:qFormat/>
    <w:uiPriority w:val="0"/>
    <w:pPr>
      <w:ind w:left="2100" w:leftChars="1000"/>
    </w:pPr>
  </w:style>
  <w:style w:type="paragraph" w:styleId="35">
    <w:name w:val="Body Text Indent 3"/>
    <w:basedOn w:val="1"/>
    <w:link w:val="61"/>
    <w:qFormat/>
    <w:uiPriority w:val="0"/>
    <w:pPr>
      <w:adjustRightInd w:val="0"/>
      <w:spacing w:line="360" w:lineRule="auto"/>
      <w:ind w:left="960"/>
      <w:jc w:val="left"/>
      <w:textAlignment w:val="baseline"/>
    </w:pPr>
    <w:rPr>
      <w:rFonts w:eastAsia="楷体"/>
      <w:kern w:val="0"/>
      <w:sz w:val="24"/>
      <w:lang w:val="zh-CN"/>
    </w:rPr>
  </w:style>
  <w:style w:type="paragraph" w:styleId="36">
    <w:name w:val="toc 2"/>
    <w:basedOn w:val="1"/>
    <w:next w:val="1"/>
    <w:qFormat/>
    <w:uiPriority w:val="0"/>
    <w:pPr>
      <w:ind w:left="420" w:leftChars="200"/>
    </w:pPr>
  </w:style>
  <w:style w:type="paragraph" w:styleId="37">
    <w:name w:val="toc 9"/>
    <w:basedOn w:val="1"/>
    <w:next w:val="1"/>
    <w:qFormat/>
    <w:uiPriority w:val="0"/>
    <w:pPr>
      <w:ind w:left="3360" w:leftChars="1600"/>
    </w:pPr>
  </w:style>
  <w:style w:type="paragraph" w:styleId="38">
    <w:name w:val="Body Text 2"/>
    <w:basedOn w:val="1"/>
    <w:link w:val="58"/>
    <w:qFormat/>
    <w:uiPriority w:val="0"/>
    <w:pPr>
      <w:spacing w:after="120" w:line="480" w:lineRule="auto"/>
    </w:pPr>
    <w:rPr>
      <w:lang w:val="zh-CN"/>
    </w:rPr>
  </w:style>
  <w:style w:type="paragraph" w:styleId="39">
    <w:name w:val="HTML Preformatted"/>
    <w:basedOn w:val="1"/>
    <w:link w:val="8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lang w:val="zh-CN"/>
    </w:rPr>
  </w:style>
  <w:style w:type="paragraph" w:styleId="4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43">
    <w:name w:val="page number"/>
    <w:basedOn w:val="42"/>
    <w:qFormat/>
    <w:uiPriority w:val="0"/>
  </w:style>
  <w:style w:type="character" w:styleId="44">
    <w:name w:val="Hyperlink"/>
    <w:qFormat/>
    <w:uiPriority w:val="99"/>
    <w:rPr>
      <w:color w:val="0000FF"/>
      <w:u w:val="single"/>
    </w:rPr>
  </w:style>
  <w:style w:type="character" w:styleId="45">
    <w:name w:val="annotation reference"/>
    <w:qFormat/>
    <w:uiPriority w:val="0"/>
    <w:rPr>
      <w:sz w:val="21"/>
      <w:szCs w:val="21"/>
    </w:rPr>
  </w:style>
  <w:style w:type="table" w:styleId="47">
    <w:name w:val="Table Grid"/>
    <w:basedOn w:val="4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48">
    <w:name w:val="日期 字符"/>
    <w:link w:val="25"/>
    <w:qFormat/>
    <w:uiPriority w:val="0"/>
    <w:rPr>
      <w:rFonts w:eastAsia="楷体"/>
      <w:kern w:val="2"/>
      <w:sz w:val="32"/>
    </w:rPr>
  </w:style>
  <w:style w:type="character" w:customStyle="1" w:styleId="49">
    <w:name w:val="标题 3 Char1"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50">
    <w:name w:val="标题 3 字符"/>
    <w:link w:val="5"/>
    <w:qFormat/>
    <w:uiPriority w:val="0"/>
    <w:rPr>
      <w:b/>
      <w:bCs/>
      <w:kern w:val="2"/>
      <w:sz w:val="32"/>
      <w:szCs w:val="32"/>
    </w:rPr>
  </w:style>
  <w:style w:type="character" w:customStyle="1" w:styleId="51">
    <w:name w:val="已访问的超链接1"/>
    <w:qFormat/>
    <w:uiPriority w:val="0"/>
    <w:rPr>
      <w:color w:val="800080"/>
      <w:u w:val="single"/>
    </w:rPr>
  </w:style>
  <w:style w:type="character" w:customStyle="1" w:styleId="52">
    <w:name w:val="标题 1 Char1"/>
    <w:qFormat/>
    <w:uiPriority w:val="0"/>
    <w:rPr>
      <w:b/>
      <w:bCs/>
      <w:kern w:val="44"/>
      <w:sz w:val="44"/>
      <w:szCs w:val="44"/>
    </w:rPr>
  </w:style>
  <w:style w:type="character" w:customStyle="1" w:styleId="53">
    <w:name w:val="标题 7 字符"/>
    <w:link w:val="9"/>
    <w:qFormat/>
    <w:uiPriority w:val="0"/>
    <w:rPr>
      <w:b/>
      <w:sz w:val="24"/>
    </w:rPr>
  </w:style>
  <w:style w:type="character" w:customStyle="1" w:styleId="54">
    <w:name w:val="页码1"/>
    <w:basedOn w:val="42"/>
    <w:qFormat/>
    <w:uiPriority w:val="0"/>
  </w:style>
  <w:style w:type="character" w:customStyle="1" w:styleId="55">
    <w:name w:val="称呼 Char1"/>
    <w:qFormat/>
    <w:uiPriority w:val="0"/>
    <w:rPr>
      <w:sz w:val="28"/>
    </w:rPr>
  </w:style>
  <w:style w:type="character" w:customStyle="1" w:styleId="56">
    <w:name w:val="标题 9 字符"/>
    <w:link w:val="11"/>
    <w:qFormat/>
    <w:uiPriority w:val="0"/>
    <w:rPr>
      <w:rFonts w:ascii="Arial" w:hAnsi="Arial" w:eastAsia="黑体"/>
      <w:sz w:val="21"/>
    </w:rPr>
  </w:style>
  <w:style w:type="character" w:customStyle="1" w:styleId="57">
    <w:name w:val="正文文本 字符"/>
    <w:link w:val="19"/>
    <w:qFormat/>
    <w:uiPriority w:val="0"/>
    <w:rPr>
      <w:kern w:val="2"/>
      <w:sz w:val="21"/>
    </w:rPr>
  </w:style>
  <w:style w:type="character" w:customStyle="1" w:styleId="58">
    <w:name w:val="正文文本 2 字符"/>
    <w:link w:val="38"/>
    <w:qFormat/>
    <w:uiPriority w:val="0"/>
    <w:rPr>
      <w:kern w:val="2"/>
      <w:sz w:val="21"/>
    </w:rPr>
  </w:style>
  <w:style w:type="character" w:customStyle="1" w:styleId="59">
    <w:name w:val="标题 1 字符"/>
    <w:link w:val="3"/>
    <w:qFormat/>
    <w:uiPriority w:val="0"/>
    <w:rPr>
      <w:b/>
      <w:kern w:val="44"/>
      <w:sz w:val="44"/>
      <w:szCs w:val="24"/>
    </w:rPr>
  </w:style>
  <w:style w:type="character" w:customStyle="1" w:styleId="60">
    <w:name w:val="批注主题 字符"/>
    <w:link w:val="12"/>
    <w:qFormat/>
    <w:uiPriority w:val="0"/>
    <w:rPr>
      <w:b/>
      <w:bCs/>
      <w:kern w:val="2"/>
      <w:sz w:val="21"/>
    </w:rPr>
  </w:style>
  <w:style w:type="character" w:customStyle="1" w:styleId="61">
    <w:name w:val="正文文本缩进 3 字符"/>
    <w:link w:val="35"/>
    <w:qFormat/>
    <w:uiPriority w:val="0"/>
    <w:rPr>
      <w:rFonts w:eastAsia="楷体"/>
      <w:sz w:val="24"/>
    </w:rPr>
  </w:style>
  <w:style w:type="character" w:customStyle="1" w:styleId="62">
    <w:name w:val="标题 4 Char1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63">
    <w:name w:val="标题 2 Char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4">
    <w:name w:val="文档结构图 字符"/>
    <w:link w:val="17"/>
    <w:qFormat/>
    <w:uiPriority w:val="0"/>
    <w:rPr>
      <w:kern w:val="2"/>
      <w:sz w:val="21"/>
      <w:shd w:val="clear" w:color="auto" w:fill="000080"/>
    </w:rPr>
  </w:style>
  <w:style w:type="character" w:customStyle="1" w:styleId="65">
    <w:name w:val="HTML 预设格式 Char"/>
    <w:qFormat/>
    <w:uiPriority w:val="0"/>
    <w:rPr>
      <w:rFonts w:ascii="Arial Unicode MS" w:hAnsi="Arial Unicode MS" w:eastAsia="Arial Unicode MS" w:cs="Arial Unicode MS"/>
      <w:color w:val="000000"/>
      <w:lang w:val="en-US" w:eastAsia="zh-CN" w:bidi="ar-SA"/>
    </w:rPr>
  </w:style>
  <w:style w:type="character" w:customStyle="1" w:styleId="66">
    <w:name w:val="正文文本缩进 2 字符"/>
    <w:link w:val="26"/>
    <w:qFormat/>
    <w:uiPriority w:val="0"/>
    <w:rPr>
      <w:kern w:val="2"/>
      <w:sz w:val="32"/>
    </w:rPr>
  </w:style>
  <w:style w:type="character" w:customStyle="1" w:styleId="67">
    <w:name w:val="标题 2 Char1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68">
    <w:name w:val="标题 5 字符"/>
    <w:link w:val="7"/>
    <w:qFormat/>
    <w:uiPriority w:val="0"/>
    <w:rPr>
      <w:b/>
      <w:sz w:val="28"/>
    </w:rPr>
  </w:style>
  <w:style w:type="character" w:customStyle="1" w:styleId="69">
    <w:name w:val="称呼 字符"/>
    <w:link w:val="18"/>
    <w:qFormat/>
    <w:uiPriority w:val="0"/>
    <w:rPr>
      <w:sz w:val="28"/>
    </w:rPr>
  </w:style>
  <w:style w:type="character" w:customStyle="1" w:styleId="70">
    <w:name w:val="页眉 Char Char"/>
    <w:qFormat/>
    <w:uiPriority w:val="0"/>
    <w:rPr>
      <w:kern w:val="2"/>
      <w:sz w:val="18"/>
      <w:szCs w:val="18"/>
    </w:rPr>
  </w:style>
  <w:style w:type="character" w:customStyle="1" w:styleId="71">
    <w:name w:val="批注文字 Char1"/>
    <w:basedOn w:val="42"/>
    <w:qFormat/>
    <w:uiPriority w:val="0"/>
  </w:style>
  <w:style w:type="character" w:customStyle="1" w:styleId="72">
    <w:name w:val="批注文字 字符"/>
    <w:link w:val="13"/>
    <w:qFormat/>
    <w:uiPriority w:val="0"/>
    <w:rPr>
      <w:kern w:val="2"/>
      <w:sz w:val="21"/>
    </w:rPr>
  </w:style>
  <w:style w:type="character" w:customStyle="1" w:styleId="73">
    <w:name w:val="HTML Markup"/>
    <w:qFormat/>
    <w:uiPriority w:val="0"/>
    <w:rPr>
      <w:vanish/>
      <w:color w:val="FF0000"/>
    </w:rPr>
  </w:style>
  <w:style w:type="character" w:customStyle="1" w:styleId="74">
    <w:name w:val="批注主题 Char1"/>
    <w:qFormat/>
    <w:uiPriority w:val="0"/>
    <w:rPr>
      <w:b/>
      <w:bCs/>
    </w:rPr>
  </w:style>
  <w:style w:type="character" w:customStyle="1" w:styleId="75">
    <w:name w:val="标题 8 Char1"/>
    <w:qFormat/>
    <w:uiPriority w:val="0"/>
    <w:rPr>
      <w:rFonts w:hint="default" w:ascii="Cambria" w:hAnsi="Cambria" w:eastAsia="宋体" w:cs="Times New Roman"/>
      <w:kern w:val="2"/>
      <w:sz w:val="24"/>
      <w:szCs w:val="24"/>
    </w:rPr>
  </w:style>
  <w:style w:type="character" w:customStyle="1" w:styleId="76">
    <w:name w:val="页脚 Char Char"/>
    <w:qFormat/>
    <w:uiPriority w:val="0"/>
    <w:rPr>
      <w:kern w:val="2"/>
      <w:sz w:val="18"/>
    </w:rPr>
  </w:style>
  <w:style w:type="character" w:customStyle="1" w:styleId="77">
    <w:name w:val="标题 9 Char1"/>
    <w:qFormat/>
    <w:uiPriority w:val="0"/>
    <w:rPr>
      <w:rFonts w:ascii="Cambria" w:hAnsi="Cambria" w:eastAsia="宋体" w:cs="Times New Roman"/>
      <w:kern w:val="2"/>
      <w:sz w:val="21"/>
      <w:szCs w:val="21"/>
    </w:rPr>
  </w:style>
  <w:style w:type="character" w:customStyle="1" w:styleId="78">
    <w:name w:val="纯文本 Char Char"/>
    <w:qFormat/>
    <w:uiPriority w:val="0"/>
    <w:rPr>
      <w:rFonts w:ascii="宋体" w:hAnsi="Courier New"/>
      <w:kern w:val="2"/>
      <w:sz w:val="21"/>
    </w:rPr>
  </w:style>
  <w:style w:type="character" w:customStyle="1" w:styleId="79">
    <w:name w:val="正文文本缩进 3 Char1"/>
    <w:qFormat/>
    <w:uiPriority w:val="0"/>
    <w:rPr>
      <w:rFonts w:eastAsia="楷体"/>
      <w:sz w:val="24"/>
    </w:rPr>
  </w:style>
  <w:style w:type="character" w:customStyle="1" w:styleId="80">
    <w:name w:val="标题 7 Char1"/>
    <w:qFormat/>
    <w:uiPriority w:val="0"/>
    <w:rPr>
      <w:b/>
      <w:bCs/>
      <w:kern w:val="2"/>
      <w:sz w:val="24"/>
      <w:szCs w:val="24"/>
    </w:rPr>
  </w:style>
  <w:style w:type="character" w:customStyle="1" w:styleId="81">
    <w:name w:val="标题 2 字符1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82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83">
    <w:name w:val="批注框文本 字符"/>
    <w:link w:val="27"/>
    <w:qFormat/>
    <w:uiPriority w:val="0"/>
    <w:rPr>
      <w:kern w:val="2"/>
      <w:sz w:val="18"/>
      <w:szCs w:val="18"/>
    </w:rPr>
  </w:style>
  <w:style w:type="character" w:customStyle="1" w:styleId="84">
    <w:name w:val="HTML 预设格式 字符"/>
    <w:link w:val="39"/>
    <w:qFormat/>
    <w:uiPriority w:val="0"/>
    <w:rPr>
      <w:rFonts w:ascii="黑体" w:hAnsi="Courier New" w:eastAsia="黑体" w:cs="Courier New"/>
    </w:rPr>
  </w:style>
  <w:style w:type="character" w:customStyle="1" w:styleId="85">
    <w:name w:val="标题 6 字符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86">
    <w:name w:val="正文文本缩进 Char"/>
    <w:qFormat/>
    <w:uiPriority w:val="0"/>
    <w:rPr>
      <w:rFonts w:eastAsia="宋体"/>
      <w:kern w:val="2"/>
      <w:sz w:val="32"/>
      <w:lang w:val="en-US" w:eastAsia="zh-CN" w:bidi="ar-SA"/>
    </w:rPr>
  </w:style>
  <w:style w:type="character" w:customStyle="1" w:styleId="87">
    <w:name w:val="标题 8 字符"/>
    <w:link w:val="10"/>
    <w:qFormat/>
    <w:uiPriority w:val="0"/>
    <w:rPr>
      <w:rFonts w:ascii="Arial" w:hAnsi="Arial" w:eastAsia="黑体"/>
      <w:sz w:val="24"/>
    </w:rPr>
  </w:style>
  <w:style w:type="character" w:customStyle="1" w:styleId="88">
    <w:name w:val="日期 Char1"/>
    <w:qFormat/>
    <w:uiPriority w:val="0"/>
    <w:rPr>
      <w:rFonts w:eastAsia="楷体"/>
      <w:sz w:val="32"/>
    </w:rPr>
  </w:style>
  <w:style w:type="character" w:customStyle="1" w:styleId="89">
    <w:name w:val="样式 首行缩进:  2 字符 Char"/>
    <w:link w:val="90"/>
    <w:qFormat/>
    <w:uiPriority w:val="0"/>
    <w:rPr>
      <w:rFonts w:ascii="宋体" w:hAnsi="宋体" w:cs="宋体"/>
      <w:kern w:val="2"/>
      <w:sz w:val="28"/>
    </w:rPr>
  </w:style>
  <w:style w:type="paragraph" w:customStyle="1" w:styleId="90">
    <w:name w:val="样式 首行缩进:  2 字符"/>
    <w:basedOn w:val="1"/>
    <w:link w:val="89"/>
    <w:qFormat/>
    <w:uiPriority w:val="0"/>
    <w:pPr>
      <w:spacing w:line="500" w:lineRule="atLeast"/>
      <w:ind w:firstLine="200" w:firstLineChars="200"/>
    </w:pPr>
    <w:rPr>
      <w:rFonts w:ascii="宋体" w:hAnsi="宋体"/>
      <w:sz w:val="28"/>
      <w:lang w:val="zh-CN"/>
    </w:rPr>
  </w:style>
  <w:style w:type="character" w:customStyle="1" w:styleId="91">
    <w:name w:val="正文缩进 字符"/>
    <w:link w:val="2"/>
    <w:qFormat/>
    <w:uiPriority w:val="0"/>
    <w:rPr>
      <w:rFonts w:ascii="宋体"/>
      <w:kern w:val="2"/>
      <w:sz w:val="24"/>
    </w:rPr>
  </w:style>
  <w:style w:type="paragraph" w:customStyle="1" w:styleId="92">
    <w:name w:val="Definition Term"/>
    <w:basedOn w:val="1"/>
    <w:next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93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4">
    <w:name w:val="分页标题"/>
    <w:basedOn w:val="1"/>
    <w:qFormat/>
    <w:uiPriority w:val="0"/>
    <w:pPr>
      <w:pageBreakBefore/>
      <w:spacing w:before="156" w:beforeLines="50"/>
      <w:jc w:val="center"/>
      <w:outlineLvl w:val="0"/>
    </w:pPr>
    <w:rPr>
      <w:rFonts w:ascii="宋体" w:hAnsi="宋体"/>
      <w:b/>
      <w:sz w:val="36"/>
      <w:szCs w:val="36"/>
    </w:rPr>
  </w:style>
  <w:style w:type="paragraph" w:customStyle="1" w:styleId="95">
    <w:name w:val="中文正文、"/>
    <w:basedOn w:val="1"/>
    <w:qFormat/>
    <w:uiPriority w:val="0"/>
    <w:pPr>
      <w:spacing w:line="360" w:lineRule="auto"/>
      <w:ind w:firstLine="420" w:firstLineChars="200"/>
      <w:jc w:val="left"/>
    </w:pPr>
    <w:rPr>
      <w:szCs w:val="21"/>
    </w:rPr>
  </w:style>
  <w:style w:type="paragraph" w:customStyle="1" w:styleId="96">
    <w:name w:val="c"/>
    <w:qFormat/>
    <w:uiPriority w:val="0"/>
    <w:pPr>
      <w:widowControl w:val="0"/>
      <w:autoSpaceDE w:val="0"/>
      <w:autoSpaceDN w:val="0"/>
      <w:adjustRightInd w:val="0"/>
      <w:jc w:val="both"/>
    </w:pPr>
    <w:rPr>
      <w:rFonts w:ascii="Arial" w:hAnsi="Arial" w:eastAsia="宋体" w:cs="Times New Roman"/>
      <w:sz w:val="24"/>
      <w:lang w:val="en-US" w:eastAsia="zh-CN" w:bidi="ar-SA"/>
    </w:rPr>
  </w:style>
  <w:style w:type="paragraph" w:customStyle="1" w:styleId="97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8">
    <w:name w:val="1"/>
    <w:basedOn w:val="1"/>
    <w:next w:val="23"/>
    <w:qFormat/>
    <w:uiPriority w:val="0"/>
    <w:rPr>
      <w:rFonts w:ascii="宋体" w:hAnsi="Courier New"/>
    </w:rPr>
  </w:style>
  <w:style w:type="paragraph" w:customStyle="1" w:styleId="99">
    <w:name w:val="Char Char Char Char Char Char Char"/>
    <w:basedOn w:val="17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100">
    <w:name w:val="黑列表"/>
    <w:basedOn w:val="1"/>
    <w:qFormat/>
    <w:uiPriority w:val="0"/>
    <w:pPr>
      <w:widowControl/>
      <w:tabs>
        <w:tab w:val="left" w:pos="420"/>
      </w:tabs>
      <w:adjustRightInd w:val="0"/>
      <w:spacing w:line="300" w:lineRule="auto"/>
      <w:ind w:left="300" w:leftChars="200" w:hanging="100" w:hangingChars="100"/>
      <w:jc w:val="left"/>
    </w:pPr>
    <w:rPr>
      <w:bCs/>
      <w:kern w:val="0"/>
      <w:sz w:val="24"/>
    </w:rPr>
  </w:style>
  <w:style w:type="paragraph" w:customStyle="1" w:styleId="101">
    <w:name w:val="2"/>
    <w:basedOn w:val="1"/>
    <w:next w:val="20"/>
    <w:qFormat/>
    <w:uiPriority w:val="0"/>
    <w:pPr>
      <w:spacing w:line="440" w:lineRule="exact"/>
      <w:ind w:firstLine="420"/>
    </w:pPr>
    <w:rPr>
      <w:sz w:val="28"/>
    </w:rPr>
  </w:style>
  <w:style w:type="paragraph" w:customStyle="1" w:styleId="102">
    <w:name w:val="Char1"/>
    <w:basedOn w:val="1"/>
    <w:qFormat/>
    <w:uiPriority w:val="0"/>
  </w:style>
  <w:style w:type="paragraph" w:customStyle="1" w:styleId="103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104">
    <w:name w:val="正文格式"/>
    <w:basedOn w:val="1"/>
    <w:qFormat/>
    <w:uiPriority w:val="0"/>
    <w:pPr>
      <w:spacing w:before="156" w:beforeLines="50" w:after="156" w:afterLines="50" w:line="360" w:lineRule="auto"/>
    </w:pPr>
    <w:rPr>
      <w:szCs w:val="24"/>
    </w:rPr>
  </w:style>
  <w:style w:type="paragraph" w:customStyle="1" w:styleId="10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06">
    <w:name w:val="Char"/>
    <w:basedOn w:val="1"/>
    <w:qFormat/>
    <w:uiPriority w:val="0"/>
    <w:pPr>
      <w:tabs>
        <w:tab w:val="left" w:pos="360"/>
      </w:tabs>
    </w:pPr>
    <w:rPr>
      <w:sz w:val="44"/>
      <w:szCs w:val="24"/>
    </w:rPr>
  </w:style>
  <w:style w:type="paragraph" w:customStyle="1" w:styleId="107">
    <w:name w:val="表格文字（大）"/>
    <w:basedOn w:val="1"/>
    <w:qFormat/>
    <w:uiPriority w:val="0"/>
    <w:pPr>
      <w:spacing w:before="20" w:after="20"/>
    </w:pPr>
    <w:rPr>
      <w:rFonts w:ascii="Century Gothic" w:hAnsi="Century Gothic"/>
      <w:sz w:val="24"/>
    </w:rPr>
  </w:style>
  <w:style w:type="paragraph" w:styleId="108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09">
    <w:name w:val="样式 普通(网站) + 仿宋_GB2312 段前: 自动 段后: 自动 行距: 1.5 倍行距1"/>
    <w:basedOn w:val="1"/>
    <w:qFormat/>
    <w:uiPriority w:val="0"/>
    <w:pPr>
      <w:widowControl/>
      <w:numPr>
        <w:ilvl w:val="0"/>
        <w:numId w:val="2"/>
      </w:numPr>
      <w:spacing w:after="120"/>
      <w:jc w:val="left"/>
    </w:pPr>
    <w:rPr>
      <w:rFonts w:ascii="Arial" w:hAnsi="Arial"/>
      <w:kern w:val="0"/>
      <w:sz w:val="20"/>
      <w:lang w:val="en-GB"/>
    </w:rPr>
  </w:style>
  <w:style w:type="paragraph" w:customStyle="1" w:styleId="1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11">
    <w:name w:val="Char Char Char Char Char Char Char1"/>
    <w:basedOn w:val="17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11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4"/>
    </w:rPr>
  </w:style>
  <w:style w:type="paragraph" w:customStyle="1" w:styleId="113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  <w:style w:type="paragraph" w:customStyle="1" w:styleId="11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b/>
      <w:bCs/>
      <w:kern w:val="0"/>
      <w:sz w:val="22"/>
      <w:szCs w:val="22"/>
    </w:rPr>
  </w:style>
  <w:style w:type="paragraph" w:customStyle="1" w:styleId="115">
    <w:name w:val="Char2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  <w:szCs w:val="24"/>
    </w:rPr>
  </w:style>
  <w:style w:type="paragraph" w:customStyle="1" w:styleId="116">
    <w:name w:val="标题一、"/>
    <w:basedOn w:val="1"/>
    <w:qFormat/>
    <w:uiPriority w:val="0"/>
    <w:pPr>
      <w:spacing w:beforeLines="100" w:afterLines="100" w:line="360" w:lineRule="auto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117">
    <w:name w:val="样式1"/>
    <w:basedOn w:val="1"/>
    <w:qFormat/>
    <w:uiPriority w:val="0"/>
    <w:pPr>
      <w:numPr>
        <w:ilvl w:val="0"/>
        <w:numId w:val="3"/>
      </w:numPr>
      <w:tabs>
        <w:tab w:val="left" w:pos="709"/>
      </w:tabs>
      <w:adjustRightInd w:val="0"/>
      <w:textAlignment w:val="baseline"/>
    </w:pPr>
    <w:rPr>
      <w:rFonts w:ascii="宋体" w:hAnsi="宋体"/>
      <w:kern w:val="0"/>
      <w:szCs w:val="21"/>
    </w:rPr>
  </w:style>
  <w:style w:type="paragraph" w:customStyle="1" w:styleId="118">
    <w:name w:val="正文2文字缩进"/>
    <w:basedOn w:val="1"/>
    <w:qFormat/>
    <w:uiPriority w:val="0"/>
    <w:pPr>
      <w:jc w:val="left"/>
    </w:pPr>
    <w:rPr>
      <w:szCs w:val="21"/>
      <w:lang w:eastAsia="ja-JP"/>
    </w:rPr>
  </w:style>
  <w:style w:type="character" w:customStyle="1" w:styleId="119">
    <w:name w:val="标题1"/>
    <w:basedOn w:val="42"/>
    <w:qFormat/>
    <w:uiPriority w:val="99"/>
  </w:style>
  <w:style w:type="character" w:customStyle="1" w:styleId="120">
    <w:name w:val="HTML 预设格式 Char2"/>
    <w:qFormat/>
    <w:uiPriority w:val="99"/>
    <w:rPr>
      <w:rFonts w:ascii="Courier New" w:hAnsi="Courier New" w:eastAsia="宋体" w:cs="Courier New"/>
      <w:sz w:val="20"/>
      <w:szCs w:val="20"/>
    </w:rPr>
  </w:style>
  <w:style w:type="paragraph" w:customStyle="1" w:styleId="121">
    <w:name w:val="样式 标题 3h33H3Heading 3 - old一level_3PIM 3Level 3 Head3rd..."/>
    <w:basedOn w:val="1"/>
    <w:qFormat/>
    <w:uiPriority w:val="99"/>
    <w:pPr>
      <w:tabs>
        <w:tab w:val="left" w:pos="1125"/>
      </w:tabs>
      <w:ind w:left="1125" w:hanging="1125"/>
    </w:pPr>
    <w:rPr>
      <w:rFonts w:eastAsia="黑体"/>
      <w:sz w:val="28"/>
      <w:szCs w:val="28"/>
    </w:rPr>
  </w:style>
  <w:style w:type="character" w:customStyle="1" w:styleId="122">
    <w:name w:val="页脚 字符"/>
    <w:link w:val="28"/>
    <w:qFormat/>
    <w:uiPriority w:val="99"/>
    <w:rPr>
      <w:kern w:val="2"/>
      <w:sz w:val="18"/>
    </w:rPr>
  </w:style>
  <w:style w:type="character" w:customStyle="1" w:styleId="123">
    <w:name w:val="纯文本 字符"/>
    <w:link w:val="23"/>
    <w:qFormat/>
    <w:uiPriority w:val="0"/>
    <w:rPr>
      <w:rFonts w:ascii="宋体" w:hAnsi="Courier New"/>
      <w:kern w:val="2"/>
      <w:sz w:val="21"/>
    </w:rPr>
  </w:style>
  <w:style w:type="character" w:customStyle="1" w:styleId="124">
    <w:name w:val="标题 2 字符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125">
    <w:name w:val="_Style 124"/>
    <w:basedOn w:val="1"/>
    <w:next w:val="108"/>
    <w:qFormat/>
    <w:uiPriority w:val="34"/>
    <w:pPr>
      <w:ind w:firstLine="420" w:firstLineChars="200"/>
    </w:pPr>
    <w:rPr>
      <w:szCs w:val="24"/>
    </w:rPr>
  </w:style>
  <w:style w:type="paragraph" w:customStyle="1" w:styleId="12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27">
    <w:name w:val="正文1"/>
    <w:next w:val="110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D8237-6D96-4D0A-AC79-F744E82200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63</Pages>
  <Words>6136</Words>
  <Characters>6636</Characters>
  <Paragraphs>537</Paragraphs>
  <TotalTime>2</TotalTime>
  <ScaleCrop>false</ScaleCrop>
  <LinksUpToDate>false</LinksUpToDate>
  <CharactersWithSpaces>7344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2021-01-05T12:45:00Z</dcterms:created>
  <dc:creator>齐天大圣</dc:creator>
  <cp:lastModifiedBy>Administrator</cp:lastModifiedBy>
  <cp:lastPrinted>2021-09-01T02:25:00Z</cp:lastPrinted>
  <dcterms:modified xsi:type="dcterms:W3CDTF">2021-09-01T02:30:59Z</dcterms:modified>
  <dc:title>招标文件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31C57064AFB64B57AE66EF77ECB8E865</vt:lpwstr>
  </property>
</Properties>
</file>